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566A">
      <w:pPr>
        <w:spacing w:after="0" w:line="360" w:lineRule="auto"/>
        <w:ind w:left="0" w:firstLine="0"/>
        <w:jc w:val="center"/>
        <w:rPr>
          <w:rFonts w:ascii="方正小标宋简体" w:hAnsi="微软雅黑" w:eastAsia="方正小标宋简体" w:cs="微软雅黑"/>
          <w:sz w:val="72"/>
        </w:rPr>
      </w:pPr>
    </w:p>
    <w:p w14:paraId="33C4D884">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70F7B962">
      <w:pPr>
        <w:spacing w:after="0" w:line="360" w:lineRule="auto"/>
        <w:ind w:left="0" w:firstLine="0"/>
        <w:rPr>
          <w:rFonts w:ascii="黑体" w:hAnsi="黑体" w:eastAsia="黑体" w:cs="黑体"/>
          <w:sz w:val="36"/>
        </w:rPr>
      </w:pPr>
    </w:p>
    <w:p w14:paraId="4F77D4FE">
      <w:pPr>
        <w:spacing w:after="0" w:line="360" w:lineRule="auto"/>
        <w:ind w:left="0" w:firstLine="0"/>
        <w:rPr>
          <w:b/>
          <w:bCs/>
          <w:sz w:val="36"/>
        </w:rPr>
      </w:pPr>
      <w:r>
        <w:rPr>
          <w:rFonts w:ascii="黑体" w:hAnsi="黑体" w:eastAsia="黑体" w:cs="黑体"/>
          <w:sz w:val="36"/>
        </w:rPr>
        <w:t>项目名称：</w:t>
      </w:r>
      <w:r>
        <w:rPr>
          <w:rFonts w:hint="eastAsia" w:ascii="黑体" w:hAnsi="黑体" w:eastAsia="黑体" w:cs="黑体"/>
          <w:b w:val="0"/>
          <w:bCs w:val="0"/>
          <w:sz w:val="36"/>
          <w:lang w:eastAsia="zh-CN"/>
        </w:rPr>
        <w:t>合肥大学</w:t>
      </w:r>
      <w:r>
        <w:rPr>
          <w:rFonts w:hint="eastAsia" w:ascii="黑体" w:hAnsi="黑体" w:eastAsia="黑体" w:cs="黑体"/>
          <w:b w:val="0"/>
          <w:bCs w:val="0"/>
          <w:sz w:val="36"/>
        </w:rPr>
        <w:t>购买辅导员办公云平台服务</w:t>
      </w:r>
    </w:p>
    <w:p w14:paraId="41860DE0">
      <w:pPr>
        <w:spacing w:after="0" w:line="360" w:lineRule="auto"/>
        <w:ind w:left="0" w:firstLine="0"/>
        <w:jc w:val="center"/>
        <w:rPr>
          <w:rFonts w:ascii="黑体" w:hAnsi="黑体" w:eastAsia="黑体" w:cs="黑体"/>
          <w:sz w:val="48"/>
        </w:rPr>
      </w:pPr>
    </w:p>
    <w:p w14:paraId="016CE62F">
      <w:pPr>
        <w:spacing w:after="0" w:line="360" w:lineRule="auto"/>
        <w:ind w:left="0" w:firstLine="0"/>
        <w:jc w:val="center"/>
        <w:rPr>
          <w:rFonts w:ascii="黑体" w:hAnsi="黑体" w:eastAsia="黑体" w:cs="黑体"/>
          <w:sz w:val="48"/>
        </w:rPr>
      </w:pPr>
    </w:p>
    <w:p w14:paraId="0673FB52">
      <w:pPr>
        <w:spacing w:after="0" w:line="360" w:lineRule="auto"/>
        <w:ind w:left="0" w:firstLine="0"/>
        <w:jc w:val="center"/>
        <w:rPr>
          <w:rFonts w:ascii="黑体" w:hAnsi="黑体" w:eastAsia="黑体" w:cs="黑体"/>
          <w:sz w:val="48"/>
        </w:rPr>
      </w:pPr>
    </w:p>
    <w:p w14:paraId="374B8B68">
      <w:pPr>
        <w:spacing w:after="0" w:line="360" w:lineRule="auto"/>
        <w:ind w:left="0" w:firstLine="0"/>
        <w:jc w:val="center"/>
        <w:rPr>
          <w:rFonts w:ascii="黑体" w:hAnsi="黑体" w:eastAsia="黑体" w:cs="黑体"/>
          <w:sz w:val="48"/>
        </w:rPr>
      </w:pPr>
    </w:p>
    <w:p w14:paraId="51CFB4F9">
      <w:pPr>
        <w:spacing w:after="0" w:line="360" w:lineRule="auto"/>
        <w:ind w:left="0" w:firstLine="0"/>
        <w:jc w:val="center"/>
        <w:rPr>
          <w:rFonts w:ascii="黑体" w:hAnsi="黑体" w:eastAsia="黑体" w:cs="黑体"/>
          <w:sz w:val="48"/>
        </w:rPr>
      </w:pPr>
    </w:p>
    <w:p w14:paraId="79FB5054">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6EE38048">
      <w:pPr>
        <w:spacing w:after="0" w:line="360" w:lineRule="auto"/>
        <w:ind w:left="0" w:firstLine="0"/>
        <w:jc w:val="center"/>
        <w:rPr>
          <w:rFonts w:ascii="黑体" w:hAnsi="黑体" w:eastAsia="黑体" w:cs="黑体"/>
          <w:sz w:val="44"/>
          <w:szCs w:val="44"/>
        </w:rPr>
      </w:pPr>
      <w:r>
        <w:rPr>
          <w:rFonts w:hint="eastAsia" w:ascii="黑体" w:hAnsi="黑体" w:eastAsia="黑体" w:cs="黑体"/>
          <w:sz w:val="44"/>
          <w:szCs w:val="44"/>
          <w:lang w:eastAsia="zh-CN"/>
        </w:rPr>
        <w:t>2024</w:t>
      </w:r>
      <w:r>
        <w:rPr>
          <w:rFonts w:ascii="黑体" w:hAnsi="黑体" w:eastAsia="黑体" w:cs="黑体"/>
          <w:sz w:val="44"/>
          <w:szCs w:val="44"/>
        </w:rPr>
        <w:t>年12月</w:t>
      </w:r>
      <w:r>
        <w:rPr>
          <w:rFonts w:hint="eastAsia" w:ascii="黑体" w:hAnsi="黑体" w:eastAsia="黑体" w:cs="黑体"/>
          <w:sz w:val="44"/>
          <w:szCs w:val="44"/>
          <w:lang w:val="en-US" w:eastAsia="zh-CN"/>
        </w:rPr>
        <w:t>10</w:t>
      </w:r>
      <w:r>
        <w:rPr>
          <w:rFonts w:ascii="黑体" w:hAnsi="黑体" w:eastAsia="黑体" w:cs="黑体"/>
          <w:sz w:val="44"/>
          <w:szCs w:val="44"/>
        </w:rPr>
        <w:t>日</w:t>
      </w:r>
    </w:p>
    <w:p w14:paraId="541314DA">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  采购邀请</w:t>
      </w:r>
    </w:p>
    <w:p w14:paraId="2ACA7DAB">
      <w:pPr>
        <w:spacing w:after="0" w:line="360" w:lineRule="auto"/>
        <w:ind w:left="0" w:firstLine="560" w:firstLineChars="200"/>
      </w:pPr>
      <w:r>
        <w:rPr>
          <w:rFonts w:ascii="黑体" w:hAnsi="黑体" w:eastAsia="黑体" w:cs="黑体"/>
        </w:rPr>
        <w:t>一、项目概况</w:t>
      </w:r>
    </w:p>
    <w:p w14:paraId="08B74D64">
      <w:pPr>
        <w:spacing w:after="0" w:line="360" w:lineRule="auto"/>
        <w:ind w:left="0" w:firstLine="571"/>
        <w:jc w:val="both"/>
      </w:pPr>
      <w:r>
        <w:t>本项目遵循公开、公平、公正的原则以询价方式进行采购，欢迎符合相关条件的供应商前来参加。</w:t>
      </w:r>
    </w:p>
    <w:p w14:paraId="628378E0">
      <w:pPr>
        <w:spacing w:after="0" w:line="360" w:lineRule="auto"/>
        <w:ind w:left="0" w:firstLine="560" w:firstLineChars="200"/>
        <w:rPr>
          <w:rFonts w:ascii="黑体" w:hAnsi="黑体" w:eastAsia="黑体" w:cs="黑体"/>
        </w:rPr>
      </w:pPr>
      <w:r>
        <w:t>项目名称：</w:t>
      </w:r>
      <w:r>
        <w:rPr>
          <w:rFonts w:hint="eastAsia" w:ascii="黑体" w:hAnsi="黑体" w:eastAsia="黑体" w:cs="黑体"/>
          <w:lang w:eastAsia="zh-CN"/>
        </w:rPr>
        <w:t>合肥大学</w:t>
      </w:r>
      <w:r>
        <w:rPr>
          <w:rFonts w:hint="eastAsia" w:ascii="黑体" w:hAnsi="黑体" w:eastAsia="黑体" w:cs="黑体"/>
        </w:rPr>
        <w:t>购买辅导员办公云平台服务项目</w:t>
      </w:r>
    </w:p>
    <w:p w14:paraId="66B1AD16">
      <w:pPr>
        <w:spacing w:after="0" w:line="360" w:lineRule="auto"/>
        <w:ind w:left="0" w:firstLine="560" w:firstLineChars="200"/>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6DC57CF4">
      <w:pPr>
        <w:spacing w:after="0" w:line="360" w:lineRule="auto"/>
        <w:ind w:left="0" w:firstLine="560" w:firstLineChars="200"/>
      </w:pPr>
      <w:r>
        <w:rPr>
          <w:rFonts w:ascii="黑体" w:hAnsi="黑体" w:eastAsia="黑体" w:cs="黑体"/>
        </w:rPr>
        <w:t>二、项目简介</w:t>
      </w:r>
    </w:p>
    <w:p w14:paraId="1D46F843">
      <w:pPr>
        <w:spacing w:after="0" w:line="360" w:lineRule="auto"/>
        <w:ind w:left="0" w:firstLine="561"/>
        <w:jc w:val="both"/>
        <w:rPr>
          <w:b/>
          <w:bCs/>
        </w:rPr>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lang w:eastAsia="zh-CN"/>
        </w:rPr>
        <w:t>合肥大学</w:t>
      </w:r>
      <w:r>
        <w:rPr>
          <w:rFonts w:hint="eastAsia"/>
        </w:rPr>
        <w:t>辅导员办公云平台服务</w:t>
      </w:r>
      <w:r>
        <w:t>进行采购，</w:t>
      </w:r>
      <w:r>
        <w:rPr>
          <w:rFonts w:hint="eastAsia"/>
          <w:b/>
          <w:bCs/>
          <w:lang w:eastAsia="zh-CN"/>
        </w:rPr>
        <w:t>服务期</w:t>
      </w:r>
      <w:r>
        <w:rPr>
          <w:rFonts w:hint="eastAsia"/>
          <w:b/>
          <w:bCs/>
          <w:lang w:val="en-US" w:eastAsia="zh-CN"/>
        </w:rPr>
        <w:t>3个月，</w:t>
      </w:r>
      <w:r>
        <w:rPr>
          <w:b/>
          <w:bCs/>
        </w:rPr>
        <w:t>项目总预算</w:t>
      </w:r>
      <w:r>
        <w:rPr>
          <w:rFonts w:hint="eastAsia" w:ascii="Times New Roman" w:hAnsi="Times New Roman" w:cs="Times New Roman"/>
          <w:b/>
          <w:bCs/>
          <w:lang w:val="en-US" w:eastAsia="zh-CN"/>
        </w:rPr>
        <w:t>2</w:t>
      </w:r>
      <w:r>
        <w:rPr>
          <w:rFonts w:ascii="Times New Roman" w:hAnsi="Times New Roman" w:cs="Times New Roman"/>
          <w:b/>
          <w:bCs/>
        </w:rPr>
        <w:t>.5</w:t>
      </w:r>
      <w:r>
        <w:rPr>
          <w:b/>
          <w:bCs/>
        </w:rPr>
        <w:t>万元。</w:t>
      </w:r>
    </w:p>
    <w:p w14:paraId="51B96B1D">
      <w:pPr>
        <w:spacing w:after="0" w:line="360" w:lineRule="auto"/>
        <w:ind w:left="0" w:firstLine="560" w:firstLineChars="200"/>
      </w:pPr>
      <w:r>
        <w:rPr>
          <w:rFonts w:ascii="Times New Roman" w:hAnsi="Times New Roman" w:eastAsia="Times New Roman" w:cs="Times New Roman"/>
        </w:rPr>
        <w:t>2.</w:t>
      </w:r>
      <w:r>
        <w:t>本次采购采用询价方式。</w:t>
      </w:r>
    </w:p>
    <w:p w14:paraId="606AF36D">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合同签订后15个</w:t>
      </w:r>
      <w:r>
        <w:rPr>
          <w:rFonts w:ascii="Times New Roman" w:hAnsi="Times New Roman" w:cs="Times New Roman" w:eastAsiaTheme="minorEastAsia"/>
        </w:rPr>
        <w:t>工作日内。</w:t>
      </w:r>
    </w:p>
    <w:p w14:paraId="7FC5C967">
      <w:pPr>
        <w:spacing w:after="0" w:line="360" w:lineRule="auto"/>
        <w:ind w:left="0" w:firstLine="560" w:firstLineChars="200"/>
      </w:pPr>
      <w:r>
        <w:rPr>
          <w:rFonts w:ascii="黑体" w:hAnsi="黑体" w:eastAsia="黑体" w:cs="黑体"/>
        </w:rPr>
        <w:t>三、供应商资格条件</w:t>
      </w:r>
    </w:p>
    <w:p w14:paraId="76FA7147">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22C7B3AD">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12DC025F">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4ABD9B05">
      <w:pPr>
        <w:spacing w:after="0" w:line="360" w:lineRule="auto"/>
        <w:ind w:left="0" w:firstLine="560" w:firstLineChars="200"/>
      </w:pPr>
      <w:r>
        <w:rPr>
          <w:rFonts w:ascii="黑体" w:hAnsi="黑体" w:eastAsia="黑体" w:cs="黑体"/>
        </w:rPr>
        <w:t>四、获取资格申请文件和询价响应文件提交方式、地点及时间</w:t>
      </w:r>
    </w:p>
    <w:p w14:paraId="605A9E23">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0A858946">
      <w:pPr>
        <w:spacing w:after="0" w:line="360" w:lineRule="auto"/>
        <w:ind w:left="0" w:firstLine="560" w:firstLineChars="200"/>
      </w:pPr>
      <w:r>
        <w:rPr>
          <w:rFonts w:hint="eastAsia"/>
        </w:rPr>
        <w:t>获取时间：</w:t>
      </w:r>
      <w:r>
        <w:rPr>
          <w:rFonts w:hint="eastAsia"/>
          <w:lang w:eastAsia="zh-CN"/>
        </w:rPr>
        <w:t>2024</w:t>
      </w:r>
      <w:r>
        <w:t>年12月</w:t>
      </w:r>
      <w:r>
        <w:rPr>
          <w:rFonts w:hint="eastAsia"/>
          <w:lang w:val="en-US" w:eastAsia="zh-CN"/>
        </w:rPr>
        <w:t>10</w:t>
      </w:r>
      <w:r>
        <w:t xml:space="preserve">日至 </w:t>
      </w:r>
      <w:r>
        <w:rPr>
          <w:rFonts w:hint="eastAsia" w:ascii="Times New Roman" w:hAnsi="Times New Roman" w:cs="Times New Roman"/>
          <w:lang w:eastAsia="zh-CN"/>
        </w:rPr>
        <w:t>2024</w:t>
      </w:r>
      <w:r>
        <w:t>年12月</w:t>
      </w:r>
      <w:r>
        <w:rPr>
          <w:rFonts w:hint="eastAsia"/>
          <w:lang w:val="en-US" w:eastAsia="zh-CN"/>
        </w:rPr>
        <w:t>13</w:t>
      </w:r>
      <w:r>
        <w:t>日</w:t>
      </w:r>
    </w:p>
    <w:p w14:paraId="14472607">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14:paraId="79F64A7A">
      <w:pPr>
        <w:spacing w:after="0" w:line="360" w:lineRule="auto"/>
        <w:ind w:left="0" w:firstLine="560" w:firstLineChars="200"/>
      </w:pPr>
      <w:r>
        <w:t>接收人：</w:t>
      </w:r>
      <w:r>
        <w:rPr>
          <w:rFonts w:hint="eastAsia"/>
        </w:rPr>
        <w:t>刘磊</w:t>
      </w:r>
      <w:r>
        <w:t xml:space="preserve">    电话：</w:t>
      </w:r>
      <w:r>
        <w:rPr>
          <w:rFonts w:ascii="Times New Roman" w:hAnsi="Times New Roman" w:eastAsia="Times New Roman" w:cs="Times New Roman"/>
        </w:rPr>
        <w:t>0551-62158072</w:t>
      </w:r>
    </w:p>
    <w:p w14:paraId="625922D5">
      <w:pPr>
        <w:tabs>
          <w:tab w:val="left" w:pos="5764"/>
        </w:tabs>
        <w:spacing w:after="0" w:line="360" w:lineRule="auto"/>
        <w:ind w:left="0" w:firstLine="560" w:firstLineChars="200"/>
      </w:pPr>
      <w:r>
        <w:t>提交</w:t>
      </w:r>
      <w:r>
        <w:rPr>
          <w:rFonts w:hint="eastAsia"/>
        </w:rPr>
        <w:t>截止</w:t>
      </w:r>
      <w:r>
        <w:t>时间：</w:t>
      </w:r>
      <w:r>
        <w:rPr>
          <w:rFonts w:hint="eastAsia" w:ascii="Times New Roman" w:hAnsi="Times New Roman" w:cs="Times New Roman"/>
          <w:lang w:eastAsia="zh-CN"/>
        </w:rPr>
        <w:t>2024</w:t>
      </w:r>
      <w:r>
        <w:t>年12月</w:t>
      </w:r>
      <w:r>
        <w:rPr>
          <w:rFonts w:hint="eastAsia"/>
          <w:lang w:val="en-US" w:eastAsia="zh-CN"/>
        </w:rPr>
        <w:t>13</w:t>
      </w:r>
      <w:r>
        <w:t>日</w:t>
      </w:r>
      <w:r>
        <w:rPr>
          <w:rFonts w:ascii="Times New Roman" w:hAnsi="Times New Roman" w:eastAsia="Times New Roman" w:cs="Times New Roman"/>
        </w:rPr>
        <w:t>12:00</w:t>
      </w:r>
      <w:r>
        <w:rPr>
          <w:rFonts w:ascii="Times New Roman" w:hAnsi="Times New Roman" w:eastAsia="Times New Roman" w:cs="Times New Roman"/>
        </w:rPr>
        <w:tab/>
      </w:r>
    </w:p>
    <w:p w14:paraId="5EE50809">
      <w:pPr>
        <w:spacing w:after="0" w:line="360" w:lineRule="auto"/>
        <w:ind w:left="0" w:firstLine="560" w:firstLineChars="200"/>
      </w:pPr>
      <w:r>
        <w:rPr>
          <w:rFonts w:ascii="黑体" w:hAnsi="黑体" w:eastAsia="黑体" w:cs="黑体"/>
        </w:rPr>
        <w:t>五、资格申请文件和询价响应文件有关情况</w:t>
      </w:r>
    </w:p>
    <w:p w14:paraId="5D865047">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2024</w:t>
      </w:r>
      <w:r>
        <w:t>年</w:t>
      </w:r>
      <w:r>
        <w:rPr>
          <w:rFonts w:ascii="Times New Roman" w:hAnsi="Times New Roman" w:cs="Times New Roman"/>
        </w:rPr>
        <w:t>12</w:t>
      </w:r>
      <w:r>
        <w:t>月</w:t>
      </w:r>
      <w:r>
        <w:rPr>
          <w:rFonts w:hint="eastAsia" w:ascii="Times New Roman" w:hAnsi="Times New Roman" w:cs="Times New Roman"/>
          <w:lang w:val="en-US" w:eastAsia="zh-CN"/>
        </w:rPr>
        <w:t>13</w:t>
      </w:r>
      <w:r>
        <w:t>日</w:t>
      </w:r>
      <w:r>
        <w:rPr>
          <w:rFonts w:hint="eastAsia"/>
        </w:rPr>
        <w:t>下</w:t>
      </w:r>
      <w:r>
        <w:t xml:space="preserve">午 </w:t>
      </w:r>
      <w:r>
        <w:rPr>
          <w:rFonts w:hint="eastAsia" w:ascii="Times New Roman" w:hAnsi="Times New Roman" w:cs="Times New Roman"/>
        </w:rPr>
        <w:t>14：30</w:t>
      </w:r>
      <w:r>
        <w:rPr>
          <w:rFonts w:hint="eastAsia" w:ascii="Times New Roman" w:hAnsi="Times New Roman" w:cs="Times New Roman" w:eastAsiaTheme="minorEastAsia"/>
        </w:rPr>
        <w:t>。</w:t>
      </w:r>
    </w:p>
    <w:p w14:paraId="7D2D3CCF">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4B827F20">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59627C51">
      <w:pPr>
        <w:spacing w:after="0" w:line="360" w:lineRule="auto"/>
        <w:ind w:left="2" w:firstLine="560" w:firstLineChars="200"/>
      </w:pPr>
      <w:r>
        <w:t>采购单位：</w:t>
      </w:r>
      <w:r>
        <w:rPr>
          <w:rFonts w:hint="eastAsia"/>
          <w:lang w:eastAsia="zh-CN"/>
        </w:rPr>
        <w:t>合肥大学</w:t>
      </w:r>
      <w:r>
        <w:rPr>
          <w:rFonts w:hint="eastAsia"/>
        </w:rPr>
        <w:t>学生处</w:t>
      </w:r>
    </w:p>
    <w:p w14:paraId="2AE097A2">
      <w:pPr>
        <w:spacing w:after="0" w:line="360" w:lineRule="auto"/>
        <w:ind w:left="0" w:firstLine="560" w:firstLineChars="200"/>
      </w:pPr>
      <w:r>
        <w:t>地址：</w:t>
      </w:r>
      <w:r>
        <w:rPr>
          <w:rFonts w:hint="eastAsia"/>
        </w:rPr>
        <w:t>安徽省合肥市</w:t>
      </w:r>
      <w:r>
        <w:t>经济技术开发区锦绣大道</w:t>
      </w:r>
      <w:r>
        <w:rPr>
          <w:rFonts w:hint="eastAsia"/>
        </w:rPr>
        <w:t>99号</w:t>
      </w:r>
      <w:r>
        <w:t xml:space="preserve">   </w:t>
      </w:r>
    </w:p>
    <w:p w14:paraId="11645C42">
      <w:pPr>
        <w:spacing w:after="0" w:line="360" w:lineRule="auto"/>
        <w:ind w:left="0" w:firstLine="560" w:firstLineChars="200"/>
      </w:pPr>
      <w:r>
        <w:t>项目联系人：</w:t>
      </w:r>
      <w:r>
        <w:rPr>
          <w:rFonts w:hint="eastAsia"/>
        </w:rPr>
        <w:t xml:space="preserve">刘磊 </w:t>
      </w:r>
      <w:r>
        <w:t xml:space="preserve">  电话：</w:t>
      </w:r>
      <w:r>
        <w:rPr>
          <w:rFonts w:ascii="Times New Roman" w:hAnsi="Times New Roman" w:eastAsia="Times New Roman" w:cs="Times New Roman"/>
        </w:rPr>
        <w:t>0551-62158072</w:t>
      </w:r>
    </w:p>
    <w:p w14:paraId="679EF74E">
      <w:pPr>
        <w:spacing w:after="0" w:line="360" w:lineRule="auto"/>
        <w:ind w:left="2" w:firstLine="560" w:firstLineChars="200"/>
        <w:rPr>
          <w:rFonts w:ascii="黑体" w:hAnsi="黑体" w:eastAsia="黑体" w:cs="黑体"/>
        </w:rPr>
      </w:pPr>
      <w:r>
        <w:rPr>
          <w:rFonts w:hint="eastAsia" w:ascii="黑体" w:hAnsi="黑体" w:eastAsia="黑体" w:cs="黑体"/>
        </w:rPr>
        <w:t>七、采购需求</w:t>
      </w:r>
    </w:p>
    <w:tbl>
      <w:tblPr>
        <w:tblStyle w:val="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874"/>
      </w:tblGrid>
      <w:tr w14:paraId="3A93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auto" w:fill="auto"/>
            <w:vAlign w:val="center"/>
          </w:tcPr>
          <w:p w14:paraId="36C3933B">
            <w:pPr>
              <w:jc w:val="center"/>
              <w:rPr>
                <w:kern w:val="0"/>
                <w:sz w:val="20"/>
                <w:szCs w:val="16"/>
              </w:rPr>
            </w:pPr>
            <w:r>
              <w:rPr>
                <w:rFonts w:hint="eastAsia"/>
                <w:kern w:val="0"/>
                <w:sz w:val="20"/>
                <w:szCs w:val="16"/>
              </w:rPr>
              <w:t>服务功能</w:t>
            </w:r>
          </w:p>
        </w:tc>
        <w:tc>
          <w:tcPr>
            <w:tcW w:w="4302" w:type="pct"/>
            <w:shd w:val="clear" w:color="auto" w:fill="auto"/>
            <w:vAlign w:val="center"/>
          </w:tcPr>
          <w:p w14:paraId="4B284035">
            <w:pPr>
              <w:jc w:val="center"/>
              <w:rPr>
                <w:kern w:val="0"/>
                <w:sz w:val="20"/>
                <w:szCs w:val="16"/>
              </w:rPr>
            </w:pPr>
            <w:r>
              <w:rPr>
                <w:rFonts w:hint="eastAsia"/>
                <w:kern w:val="0"/>
                <w:sz w:val="20"/>
                <w:szCs w:val="16"/>
              </w:rPr>
              <w:t>功能描述</w:t>
            </w:r>
          </w:p>
        </w:tc>
      </w:tr>
      <w:tr w14:paraId="780D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03BF182F">
            <w:pPr>
              <w:rPr>
                <w:b/>
                <w:bCs/>
                <w:kern w:val="0"/>
                <w:sz w:val="20"/>
                <w:szCs w:val="16"/>
              </w:rPr>
            </w:pPr>
            <w:r>
              <w:rPr>
                <w:rFonts w:hint="eastAsia"/>
                <w:b/>
                <w:bCs/>
                <w:kern w:val="0"/>
                <w:sz w:val="20"/>
                <w:szCs w:val="16"/>
              </w:rPr>
              <w:t>首页与客户支持系统</w:t>
            </w:r>
          </w:p>
        </w:tc>
        <w:tc>
          <w:tcPr>
            <w:tcW w:w="4302" w:type="pct"/>
            <w:shd w:val="clear" w:color="000000" w:fill="auto"/>
            <w:vAlign w:val="center"/>
          </w:tcPr>
          <w:p w14:paraId="20532414">
            <w:pPr>
              <w:rPr>
                <w:kern w:val="0"/>
                <w:sz w:val="20"/>
                <w:szCs w:val="16"/>
              </w:rPr>
            </w:pPr>
            <w:r>
              <w:rPr>
                <w:rFonts w:hint="eastAsia"/>
                <w:kern w:val="0"/>
                <w:sz w:val="20"/>
                <w:szCs w:val="16"/>
              </w:rPr>
              <w:t>支持多角色切换；</w:t>
            </w:r>
          </w:p>
          <w:p w14:paraId="013EB865">
            <w:pPr>
              <w:rPr>
                <w:kern w:val="0"/>
                <w:sz w:val="20"/>
                <w:szCs w:val="16"/>
              </w:rPr>
            </w:pPr>
            <w:r>
              <w:rPr>
                <w:rFonts w:hint="eastAsia"/>
                <w:kern w:val="0"/>
                <w:sz w:val="20"/>
                <w:szCs w:val="16"/>
              </w:rPr>
              <w:t>- 首页展现所管理学生的基本数据统计情况（如总管理学生统计、学生在校情况分布、系统接入人数统计）；</w:t>
            </w:r>
          </w:p>
          <w:p w14:paraId="6C2FDA92">
            <w:pPr>
              <w:rPr>
                <w:kern w:val="0"/>
                <w:sz w:val="20"/>
                <w:szCs w:val="16"/>
              </w:rPr>
            </w:pPr>
            <w:r>
              <w:rPr>
                <w:rFonts w:hint="eastAsia"/>
                <w:kern w:val="0"/>
                <w:sz w:val="20"/>
                <w:szCs w:val="16"/>
              </w:rPr>
              <w:t>-在首页以及所有应用功能中展开，查看当前应用功能的操作说明。</w:t>
            </w:r>
          </w:p>
        </w:tc>
      </w:tr>
      <w:tr w14:paraId="2151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3AA63465">
            <w:pPr>
              <w:rPr>
                <w:b/>
                <w:bCs/>
                <w:kern w:val="0"/>
                <w:sz w:val="20"/>
                <w:szCs w:val="16"/>
              </w:rPr>
            </w:pPr>
            <w:r>
              <w:rPr>
                <w:rFonts w:hint="eastAsia"/>
                <w:b/>
                <w:bCs/>
                <w:kern w:val="0"/>
                <w:sz w:val="20"/>
                <w:szCs w:val="16"/>
              </w:rPr>
              <w:t>通知</w:t>
            </w:r>
          </w:p>
        </w:tc>
        <w:tc>
          <w:tcPr>
            <w:tcW w:w="4302" w:type="pct"/>
            <w:shd w:val="clear" w:color="000000" w:fill="auto"/>
            <w:vAlign w:val="center"/>
          </w:tcPr>
          <w:p w14:paraId="7857DBE0">
            <w:pPr>
              <w:rPr>
                <w:kern w:val="0"/>
                <w:sz w:val="20"/>
                <w:szCs w:val="16"/>
              </w:rPr>
            </w:pPr>
            <w:r>
              <w:rPr>
                <w:rFonts w:hint="eastAsia"/>
                <w:kern w:val="0"/>
                <w:sz w:val="20"/>
                <w:szCs w:val="16"/>
              </w:rPr>
              <w:t>向学生发送通知：即时查看通知进度与学生已读未读情况；发送时设置通知优先级；使用移动端APP推送、短信、虚拟电话进行未读提醒；支持校级任务，可对任务进行分解转发。</w:t>
            </w:r>
          </w:p>
        </w:tc>
      </w:tr>
      <w:tr w14:paraId="2B45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5783F25A">
            <w:pPr>
              <w:rPr>
                <w:b/>
                <w:bCs/>
                <w:kern w:val="0"/>
                <w:sz w:val="20"/>
                <w:szCs w:val="16"/>
              </w:rPr>
            </w:pPr>
            <w:r>
              <w:rPr>
                <w:rFonts w:hint="eastAsia"/>
                <w:b/>
                <w:bCs/>
                <w:kern w:val="0"/>
                <w:sz w:val="20"/>
                <w:szCs w:val="16"/>
              </w:rPr>
              <w:t>活动报名</w:t>
            </w:r>
          </w:p>
        </w:tc>
        <w:tc>
          <w:tcPr>
            <w:tcW w:w="4302" w:type="pct"/>
            <w:shd w:val="clear" w:color="000000" w:fill="auto"/>
            <w:vAlign w:val="center"/>
          </w:tcPr>
          <w:p w14:paraId="3D32F242">
            <w:pPr>
              <w:rPr>
                <w:kern w:val="0"/>
                <w:sz w:val="20"/>
                <w:szCs w:val="16"/>
              </w:rPr>
            </w:pPr>
            <w:r>
              <w:rPr>
                <w:rFonts w:hint="eastAsia"/>
                <w:kern w:val="0"/>
                <w:sz w:val="20"/>
                <w:szCs w:val="16"/>
              </w:rPr>
              <w:t>向学生发起活动报名邀约，学生通过移动端报名；可即时查看报名情况，可以一键导出报名表；包含全套的通知触达与Q&amp;A功能。</w:t>
            </w:r>
          </w:p>
        </w:tc>
      </w:tr>
      <w:tr w14:paraId="2022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10DB038A">
            <w:pPr>
              <w:rPr>
                <w:b/>
                <w:bCs/>
                <w:kern w:val="0"/>
                <w:sz w:val="20"/>
                <w:szCs w:val="16"/>
              </w:rPr>
            </w:pPr>
            <w:r>
              <w:rPr>
                <w:rFonts w:hint="eastAsia"/>
                <w:b/>
                <w:bCs/>
                <w:kern w:val="0"/>
                <w:sz w:val="20"/>
                <w:szCs w:val="16"/>
              </w:rPr>
              <w:t>信息收集</w:t>
            </w:r>
          </w:p>
        </w:tc>
        <w:tc>
          <w:tcPr>
            <w:tcW w:w="4302" w:type="pct"/>
            <w:shd w:val="clear" w:color="000000" w:fill="auto"/>
            <w:vAlign w:val="center"/>
          </w:tcPr>
          <w:p w14:paraId="47A8BF31">
            <w:pPr>
              <w:rPr>
                <w:kern w:val="0"/>
                <w:sz w:val="20"/>
                <w:szCs w:val="16"/>
              </w:rPr>
            </w:pPr>
            <w:r>
              <w:rPr>
                <w:rFonts w:hint="eastAsia"/>
                <w:kern w:val="0"/>
                <w:sz w:val="20"/>
                <w:szCs w:val="16"/>
              </w:rPr>
              <w:t>可自建表单，向学生发起填写通知，学生通过移动端填写信息；管理员可即时查看学生填写的内容，并能够要求学生重新填写提交。支持将填写的信息汇总导出EXCEL；同时包含全套的通知触达与Q&amp;A功能。支持校级任务，可对任务进行分解转发。</w:t>
            </w:r>
          </w:p>
          <w:p w14:paraId="32CE0C61">
            <w:pPr>
              <w:rPr>
                <w:kern w:val="0"/>
                <w:sz w:val="20"/>
                <w:szCs w:val="16"/>
              </w:rPr>
            </w:pPr>
            <w:r>
              <w:rPr>
                <w:rFonts w:hint="eastAsia"/>
                <w:kern w:val="0"/>
                <w:sz w:val="20"/>
                <w:szCs w:val="16"/>
              </w:rPr>
              <w:t>- 模板库功能，支持校内共享信息收集表单模板，支持一键将历史任务转为模板并校内共享；</w:t>
            </w:r>
          </w:p>
          <w:p w14:paraId="436CB4B0">
            <w:pPr>
              <w:rPr>
                <w:kern w:val="0"/>
                <w:sz w:val="20"/>
                <w:szCs w:val="16"/>
              </w:rPr>
            </w:pPr>
            <w:r>
              <w:rPr>
                <w:rFonts w:hint="eastAsia"/>
                <w:kern w:val="0"/>
                <w:sz w:val="20"/>
                <w:szCs w:val="16"/>
              </w:rPr>
              <w:t>- 提供</w:t>
            </w:r>
            <w:r>
              <w:rPr>
                <w:kern w:val="0"/>
                <w:sz w:val="20"/>
                <w:szCs w:val="16"/>
              </w:rPr>
              <w:t>各类</w:t>
            </w:r>
            <w:r>
              <w:rPr>
                <w:rFonts w:hint="eastAsia"/>
                <w:kern w:val="0"/>
                <w:sz w:val="20"/>
                <w:szCs w:val="16"/>
              </w:rPr>
              <w:t>表单模板；</w:t>
            </w:r>
          </w:p>
          <w:p w14:paraId="42AEF049">
            <w:pPr>
              <w:rPr>
                <w:kern w:val="0"/>
                <w:sz w:val="20"/>
                <w:szCs w:val="16"/>
              </w:rPr>
            </w:pPr>
            <w:r>
              <w:rPr>
                <w:rFonts w:hint="eastAsia"/>
                <w:kern w:val="0"/>
                <w:sz w:val="20"/>
                <w:szCs w:val="16"/>
              </w:rPr>
              <w:t>- 表单具备逻辑跳转功能；</w:t>
            </w:r>
            <w:r>
              <w:rPr>
                <w:kern w:val="0"/>
                <w:sz w:val="20"/>
                <w:szCs w:val="16"/>
              </w:rPr>
              <w:t xml:space="preserve"> </w:t>
            </w:r>
          </w:p>
          <w:p w14:paraId="610AD2D5">
            <w:pPr>
              <w:rPr>
                <w:kern w:val="0"/>
                <w:sz w:val="20"/>
                <w:szCs w:val="16"/>
              </w:rPr>
            </w:pPr>
            <w:r>
              <w:rPr>
                <w:rFonts w:hint="eastAsia"/>
                <w:kern w:val="0"/>
                <w:sz w:val="20"/>
                <w:szCs w:val="16"/>
              </w:rPr>
              <w:t>- 表单具备自动判分功能，实现对表单中的选择类题目自动计算得分并给出总得分；</w:t>
            </w:r>
          </w:p>
          <w:p w14:paraId="2E518E58">
            <w:pPr>
              <w:rPr>
                <w:kern w:val="0"/>
                <w:sz w:val="20"/>
                <w:szCs w:val="16"/>
              </w:rPr>
            </w:pPr>
            <w:r>
              <w:rPr>
                <w:rFonts w:hint="eastAsia"/>
                <w:kern w:val="0"/>
                <w:sz w:val="20"/>
                <w:szCs w:val="16"/>
              </w:rPr>
              <w:t>- 支持循环发布任务功能。</w:t>
            </w:r>
          </w:p>
        </w:tc>
      </w:tr>
      <w:tr w14:paraId="516C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6B2AC28C">
            <w:pPr>
              <w:rPr>
                <w:b/>
                <w:bCs/>
                <w:kern w:val="0"/>
                <w:sz w:val="20"/>
                <w:szCs w:val="16"/>
              </w:rPr>
            </w:pPr>
            <w:r>
              <w:rPr>
                <w:rFonts w:hint="eastAsia"/>
                <w:b/>
                <w:bCs/>
                <w:kern w:val="0"/>
                <w:sz w:val="20"/>
                <w:szCs w:val="16"/>
              </w:rPr>
              <w:t>辅导员工作日志</w:t>
            </w:r>
          </w:p>
        </w:tc>
        <w:tc>
          <w:tcPr>
            <w:tcW w:w="4302" w:type="pct"/>
            <w:shd w:val="clear" w:color="000000" w:fill="auto"/>
            <w:vAlign w:val="center"/>
          </w:tcPr>
          <w:p w14:paraId="28409B55">
            <w:pPr>
              <w:rPr>
                <w:kern w:val="0"/>
                <w:sz w:val="20"/>
                <w:szCs w:val="16"/>
              </w:rPr>
            </w:pPr>
            <w:r>
              <w:rPr>
                <w:rFonts w:hint="eastAsia"/>
                <w:kern w:val="0"/>
                <w:sz w:val="20"/>
                <w:szCs w:val="16"/>
              </w:rPr>
              <w:t>可通过PC/移动端填写工作日志；可创建自定义表单日志模板，实时填写在线保存、查看、修改；管理员可对全校各类型日志的填写数量进行在线设置要求，并可查看全校的工作日志并统计数量。</w:t>
            </w:r>
          </w:p>
          <w:p w14:paraId="3E35A9E7">
            <w:pPr>
              <w:rPr>
                <w:kern w:val="0"/>
                <w:sz w:val="20"/>
                <w:szCs w:val="16"/>
              </w:rPr>
            </w:pPr>
            <w:r>
              <w:rPr>
                <w:rFonts w:hint="eastAsia"/>
                <w:kern w:val="0"/>
                <w:sz w:val="20"/>
                <w:szCs w:val="16"/>
              </w:rPr>
              <w:t>- 支持对填写内容进行模糊搜索；</w:t>
            </w:r>
          </w:p>
          <w:p w14:paraId="592A2D87">
            <w:pPr>
              <w:rPr>
                <w:kern w:val="0"/>
                <w:sz w:val="20"/>
                <w:szCs w:val="16"/>
              </w:rPr>
            </w:pPr>
            <w:r>
              <w:rPr>
                <w:rFonts w:hint="eastAsia"/>
                <w:kern w:val="0"/>
                <w:sz w:val="20"/>
                <w:szCs w:val="16"/>
              </w:rPr>
              <w:t>- 支持对所选学生/组织进行精确搜索；</w:t>
            </w:r>
          </w:p>
          <w:p w14:paraId="7BEE623E">
            <w:pPr>
              <w:rPr>
                <w:kern w:val="0"/>
                <w:sz w:val="20"/>
                <w:szCs w:val="16"/>
              </w:rPr>
            </w:pPr>
            <w:r>
              <w:rPr>
                <w:rFonts w:hint="eastAsia"/>
                <w:kern w:val="0"/>
                <w:sz w:val="20"/>
                <w:szCs w:val="16"/>
              </w:rPr>
              <w:t>- 支持对教师不同类型日志的填写、提交情况查询</w:t>
            </w:r>
            <w:r>
              <w:rPr>
                <w:kern w:val="0"/>
                <w:sz w:val="20"/>
                <w:szCs w:val="16"/>
              </w:rPr>
              <w:t>、统计</w:t>
            </w:r>
            <w:r>
              <w:rPr>
                <w:rFonts w:hint="eastAsia"/>
                <w:kern w:val="0"/>
                <w:sz w:val="20"/>
                <w:szCs w:val="16"/>
              </w:rPr>
              <w:t>。</w:t>
            </w:r>
          </w:p>
        </w:tc>
      </w:tr>
      <w:tr w14:paraId="01A4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0E7420C6">
            <w:pPr>
              <w:rPr>
                <w:b/>
                <w:bCs/>
                <w:kern w:val="0"/>
                <w:sz w:val="20"/>
                <w:szCs w:val="16"/>
              </w:rPr>
            </w:pPr>
            <w:r>
              <w:rPr>
                <w:rFonts w:hint="eastAsia"/>
                <w:b/>
                <w:bCs/>
                <w:kern w:val="0"/>
                <w:sz w:val="20"/>
                <w:szCs w:val="16"/>
              </w:rPr>
              <w:t>学生信息库</w:t>
            </w:r>
          </w:p>
        </w:tc>
        <w:tc>
          <w:tcPr>
            <w:tcW w:w="4302" w:type="pct"/>
            <w:shd w:val="clear" w:color="000000" w:fill="auto"/>
            <w:vAlign w:val="center"/>
          </w:tcPr>
          <w:p w14:paraId="3E4DC313">
            <w:pPr>
              <w:rPr>
                <w:kern w:val="0"/>
                <w:sz w:val="20"/>
                <w:szCs w:val="16"/>
              </w:rPr>
            </w:pPr>
            <w:r>
              <w:rPr>
                <w:rFonts w:hint="eastAsia"/>
                <w:kern w:val="0"/>
                <w:sz w:val="20"/>
                <w:szCs w:val="16"/>
              </w:rPr>
              <w:t>支持导入学生的基本信息、成绩信息、宿舍信息进行存储查看；支持在搜索学生个人信息时，查看包含系统各类信息汇总页。</w:t>
            </w:r>
          </w:p>
          <w:p w14:paraId="1ADD7D2B">
            <w:pPr>
              <w:rPr>
                <w:kern w:val="0"/>
                <w:sz w:val="20"/>
                <w:szCs w:val="16"/>
              </w:rPr>
            </w:pPr>
            <w:r>
              <w:rPr>
                <w:rFonts w:hint="eastAsia"/>
                <w:b/>
                <w:bCs/>
                <w:kern w:val="0"/>
                <w:sz w:val="20"/>
                <w:szCs w:val="16"/>
              </w:rPr>
              <w:t xml:space="preserve">- </w:t>
            </w:r>
            <w:r>
              <w:rPr>
                <w:rFonts w:hint="eastAsia"/>
                <w:kern w:val="0"/>
                <w:sz w:val="20"/>
                <w:szCs w:val="16"/>
              </w:rPr>
              <w:t>支持全量学生基本信息查看与维护；</w:t>
            </w:r>
          </w:p>
          <w:p w14:paraId="1614C4F3">
            <w:pPr>
              <w:rPr>
                <w:kern w:val="0"/>
                <w:sz w:val="20"/>
                <w:szCs w:val="16"/>
              </w:rPr>
            </w:pPr>
            <w:r>
              <w:rPr>
                <w:rFonts w:hint="eastAsia"/>
                <w:kern w:val="0"/>
                <w:sz w:val="20"/>
                <w:szCs w:val="16"/>
              </w:rPr>
              <w:t>- 支持奖惩助贷勤、扩展信息查看与维护；</w:t>
            </w:r>
          </w:p>
          <w:p w14:paraId="32AE62F7">
            <w:pPr>
              <w:rPr>
                <w:kern w:val="0"/>
                <w:sz w:val="20"/>
                <w:szCs w:val="16"/>
              </w:rPr>
            </w:pPr>
            <w:r>
              <w:rPr>
                <w:rFonts w:hint="eastAsia"/>
                <w:kern w:val="0"/>
                <w:sz w:val="20"/>
                <w:szCs w:val="16"/>
              </w:rPr>
              <w:t>- 支持学生个人照片的查看与维护；</w:t>
            </w:r>
          </w:p>
          <w:p w14:paraId="15895972">
            <w:pPr>
              <w:rPr>
                <w:kern w:val="0"/>
                <w:sz w:val="20"/>
                <w:szCs w:val="16"/>
              </w:rPr>
            </w:pPr>
            <w:r>
              <w:rPr>
                <w:rFonts w:hint="eastAsia"/>
                <w:kern w:val="0"/>
                <w:sz w:val="20"/>
                <w:szCs w:val="16"/>
              </w:rPr>
              <w:t>- 支持全量数据与私有云系统数据同步；</w:t>
            </w:r>
          </w:p>
          <w:p w14:paraId="76E058F0">
            <w:pPr>
              <w:rPr>
                <w:kern w:val="0"/>
                <w:sz w:val="20"/>
                <w:szCs w:val="16"/>
              </w:rPr>
            </w:pPr>
            <w:r>
              <w:rPr>
                <w:rFonts w:hint="eastAsia"/>
                <w:kern w:val="0"/>
                <w:sz w:val="20"/>
                <w:szCs w:val="16"/>
              </w:rPr>
              <w:t>- 支持学生自行查看自己的学生信息库全量数据，并可自主编辑修改，可针对字段设置修改审批流程；</w:t>
            </w:r>
          </w:p>
          <w:p w14:paraId="753D131E">
            <w:pPr>
              <w:rPr>
                <w:kern w:val="0"/>
                <w:sz w:val="20"/>
                <w:szCs w:val="16"/>
              </w:rPr>
            </w:pPr>
            <w:r>
              <w:rPr>
                <w:rFonts w:hint="eastAsia"/>
                <w:kern w:val="0"/>
                <w:sz w:val="20"/>
                <w:szCs w:val="16"/>
              </w:rPr>
              <w:t>- 支持对大类、小类、字段信息进行查看、编辑、审批的权限设置。</w:t>
            </w:r>
          </w:p>
        </w:tc>
      </w:tr>
      <w:tr w14:paraId="50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7E938080">
            <w:pPr>
              <w:rPr>
                <w:b/>
                <w:bCs/>
                <w:kern w:val="0"/>
                <w:sz w:val="20"/>
                <w:szCs w:val="16"/>
              </w:rPr>
            </w:pPr>
            <w:r>
              <w:rPr>
                <w:rFonts w:hint="eastAsia"/>
                <w:b/>
                <w:bCs/>
                <w:kern w:val="0"/>
                <w:sz w:val="20"/>
                <w:szCs w:val="16"/>
              </w:rPr>
              <w:t>请假</w:t>
            </w:r>
          </w:p>
        </w:tc>
        <w:tc>
          <w:tcPr>
            <w:tcW w:w="4302" w:type="pct"/>
            <w:shd w:val="clear" w:color="000000" w:fill="auto"/>
            <w:vAlign w:val="center"/>
          </w:tcPr>
          <w:p w14:paraId="033D07FE">
            <w:pPr>
              <w:rPr>
                <w:kern w:val="0"/>
                <w:sz w:val="20"/>
                <w:szCs w:val="16"/>
              </w:rPr>
            </w:pPr>
            <w:r>
              <w:rPr>
                <w:rFonts w:hint="eastAsia"/>
                <w:kern w:val="0"/>
                <w:sz w:val="20"/>
                <w:szCs w:val="16"/>
              </w:rPr>
              <w:t>支持学生通过移动端发起请假申请，管理员在网页/移动端进行审核，并查看学生的休假与销假情况，并可对学生的请假记录进行统计。学生可在移动端通过GPS定位与拍照自行销假；管理员可一键导出学生请假表。支持多级审批、请假类型维护与销假设置等相关配置；支持销假逾期学生自动预警，提醒学生与管理员及时关注逾期的请假。</w:t>
            </w:r>
          </w:p>
        </w:tc>
      </w:tr>
      <w:tr w14:paraId="59D6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401385C3">
            <w:pPr>
              <w:rPr>
                <w:b/>
                <w:bCs/>
                <w:kern w:val="0"/>
                <w:sz w:val="20"/>
                <w:szCs w:val="16"/>
              </w:rPr>
            </w:pPr>
            <w:r>
              <w:rPr>
                <w:rFonts w:hint="eastAsia"/>
                <w:b/>
                <w:bCs/>
                <w:kern w:val="0"/>
                <w:sz w:val="20"/>
                <w:szCs w:val="16"/>
              </w:rPr>
              <w:t>查寝</w:t>
            </w:r>
          </w:p>
        </w:tc>
        <w:tc>
          <w:tcPr>
            <w:tcW w:w="4302" w:type="pct"/>
            <w:shd w:val="clear" w:color="000000" w:fill="auto"/>
            <w:vAlign w:val="center"/>
          </w:tcPr>
          <w:p w14:paraId="3209371A">
            <w:pPr>
              <w:rPr>
                <w:kern w:val="0"/>
                <w:sz w:val="20"/>
                <w:szCs w:val="16"/>
              </w:rPr>
            </w:pPr>
            <w:r>
              <w:rPr>
                <w:rFonts w:hint="eastAsia"/>
                <w:kern w:val="0"/>
                <w:sz w:val="20"/>
                <w:szCs w:val="16"/>
              </w:rPr>
              <w:t>支持建立查寝任务，对学生进行在线查寝，可设置包括地理位置范围、拍照要求、查寝时间等配置项，学生在移动端进行签到，管理员可在网页/移动端即时查看查寝情况。包含全套的通知触达与Q&amp;A功能。支持校级任务，可对任务进行分解转发。</w:t>
            </w:r>
          </w:p>
        </w:tc>
      </w:tr>
      <w:tr w14:paraId="544C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55693161">
            <w:pPr>
              <w:rPr>
                <w:b/>
                <w:bCs/>
                <w:kern w:val="0"/>
                <w:sz w:val="20"/>
                <w:szCs w:val="16"/>
              </w:rPr>
            </w:pPr>
            <w:r>
              <w:rPr>
                <w:rFonts w:hint="eastAsia"/>
                <w:b/>
                <w:bCs/>
                <w:kern w:val="0"/>
                <w:sz w:val="20"/>
                <w:szCs w:val="16"/>
              </w:rPr>
              <w:t>签到</w:t>
            </w:r>
          </w:p>
        </w:tc>
        <w:tc>
          <w:tcPr>
            <w:tcW w:w="4302" w:type="pct"/>
            <w:shd w:val="clear" w:color="000000" w:fill="auto"/>
            <w:vAlign w:val="center"/>
          </w:tcPr>
          <w:p w14:paraId="0DC0A637">
            <w:pPr>
              <w:rPr>
                <w:kern w:val="0"/>
                <w:sz w:val="20"/>
                <w:szCs w:val="16"/>
              </w:rPr>
            </w:pPr>
            <w:r>
              <w:rPr>
                <w:rFonts w:hint="eastAsia"/>
                <w:kern w:val="0"/>
                <w:sz w:val="20"/>
                <w:szCs w:val="16"/>
              </w:rPr>
              <w:t>支持设置签到任务，可设置签到时间、地理范围、拍照要求等配置项，对学生发起签到任务。学生在移动端进行签到。同时包含全套的通知触达与Q&amp;A功能；</w:t>
            </w:r>
          </w:p>
          <w:p w14:paraId="09A93322">
            <w:pPr>
              <w:rPr>
                <w:kern w:val="0"/>
                <w:sz w:val="20"/>
                <w:szCs w:val="16"/>
              </w:rPr>
            </w:pPr>
            <w:r>
              <w:rPr>
                <w:rFonts w:hint="eastAsia"/>
                <w:kern w:val="0"/>
                <w:sz w:val="20"/>
                <w:szCs w:val="16"/>
              </w:rPr>
              <w:t>支持校级任务，可对任务进行分解转发；</w:t>
            </w:r>
          </w:p>
          <w:p w14:paraId="69AA0287">
            <w:pPr>
              <w:rPr>
                <w:kern w:val="0"/>
                <w:sz w:val="20"/>
                <w:szCs w:val="16"/>
              </w:rPr>
            </w:pPr>
            <w:r>
              <w:rPr>
                <w:rFonts w:hint="eastAsia"/>
                <w:kern w:val="0"/>
                <w:sz w:val="20"/>
                <w:szCs w:val="16"/>
              </w:rPr>
              <w:t>支持在学生签到后添加附加信息采集，创建选择或文本题目；</w:t>
            </w:r>
          </w:p>
          <w:p w14:paraId="36D5E232">
            <w:pPr>
              <w:rPr>
                <w:kern w:val="0"/>
                <w:sz w:val="20"/>
                <w:szCs w:val="16"/>
              </w:rPr>
            </w:pPr>
            <w:r>
              <w:rPr>
                <w:rFonts w:hint="eastAsia"/>
                <w:kern w:val="0"/>
                <w:sz w:val="20"/>
                <w:szCs w:val="16"/>
              </w:rPr>
              <w:t>支持创建自由签到，通过静态二维码实现学校主要区域人流量与行为轨迹采集。</w:t>
            </w:r>
          </w:p>
        </w:tc>
      </w:tr>
      <w:tr w14:paraId="6A0E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1FEF05BB">
            <w:pPr>
              <w:rPr>
                <w:b/>
                <w:bCs/>
                <w:kern w:val="0"/>
                <w:sz w:val="20"/>
                <w:szCs w:val="16"/>
              </w:rPr>
            </w:pPr>
            <w:r>
              <w:rPr>
                <w:rFonts w:hint="eastAsia"/>
                <w:b/>
                <w:bCs/>
                <w:kern w:val="0"/>
                <w:sz w:val="20"/>
                <w:szCs w:val="16"/>
              </w:rPr>
              <w:t>节假日离返校</w:t>
            </w:r>
          </w:p>
        </w:tc>
        <w:tc>
          <w:tcPr>
            <w:tcW w:w="4302" w:type="pct"/>
            <w:shd w:val="clear" w:color="000000" w:fill="auto"/>
            <w:vAlign w:val="center"/>
          </w:tcPr>
          <w:p w14:paraId="29433035">
            <w:pPr>
              <w:rPr>
                <w:kern w:val="0"/>
                <w:sz w:val="20"/>
                <w:szCs w:val="16"/>
              </w:rPr>
            </w:pPr>
            <w:r>
              <w:rPr>
                <w:rFonts w:hint="eastAsia"/>
                <w:kern w:val="0"/>
                <w:sz w:val="20"/>
                <w:szCs w:val="16"/>
              </w:rPr>
              <w:t>支持根据不同的节假日设置不同的去向登记、返校登记时间，持学生填写多段去向；支持管理员查看学生登记明细、学生去向统计、学生去向登记情况、学生返校登记情况；支持管理员在电脑端或手机端帮学生确认到达；支持自定义设置留校审批流程；支持统计各院系留校人数。</w:t>
            </w:r>
          </w:p>
        </w:tc>
      </w:tr>
      <w:tr w14:paraId="6204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3EFAF5B0">
            <w:pPr>
              <w:rPr>
                <w:b/>
                <w:bCs/>
                <w:kern w:val="0"/>
                <w:sz w:val="20"/>
                <w:szCs w:val="16"/>
              </w:rPr>
            </w:pPr>
            <w:r>
              <w:rPr>
                <w:rFonts w:hint="eastAsia"/>
                <w:b/>
                <w:bCs/>
                <w:kern w:val="0"/>
                <w:sz w:val="20"/>
                <w:szCs w:val="16"/>
              </w:rPr>
              <w:t>通用审批表单</w:t>
            </w:r>
          </w:p>
        </w:tc>
        <w:tc>
          <w:tcPr>
            <w:tcW w:w="4302" w:type="pct"/>
            <w:shd w:val="clear" w:color="000000" w:fill="auto"/>
            <w:vAlign w:val="center"/>
          </w:tcPr>
          <w:p w14:paraId="3C638C94">
            <w:pPr>
              <w:rPr>
                <w:kern w:val="0"/>
                <w:sz w:val="20"/>
                <w:szCs w:val="16"/>
              </w:rPr>
            </w:pPr>
            <w:r>
              <w:rPr>
                <w:rFonts w:hint="eastAsia"/>
                <w:kern w:val="0"/>
                <w:sz w:val="20"/>
                <w:szCs w:val="16"/>
              </w:rPr>
              <w:t>支持学校自定义通用审批应用，包括应用名称、图标、流程、表单内容等，</w:t>
            </w:r>
            <w:r>
              <w:rPr>
                <w:kern w:val="0"/>
                <w:sz w:val="20"/>
                <w:szCs w:val="16"/>
              </w:rPr>
              <w:t>可在任意时间编辑自定义应用，可编辑的范围包括：所有自定义表单的字段、消息开关、审批流程中的角色分配。</w:t>
            </w:r>
          </w:p>
        </w:tc>
      </w:tr>
      <w:tr w14:paraId="18E9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1D69E90D">
            <w:pPr>
              <w:rPr>
                <w:b/>
                <w:bCs/>
                <w:kern w:val="0"/>
                <w:sz w:val="20"/>
                <w:szCs w:val="16"/>
              </w:rPr>
            </w:pPr>
            <w:r>
              <w:rPr>
                <w:rFonts w:hint="eastAsia"/>
                <w:b/>
                <w:bCs/>
                <w:kern w:val="0"/>
                <w:sz w:val="20"/>
                <w:szCs w:val="16"/>
              </w:rPr>
              <w:t>大数据分析</w:t>
            </w:r>
          </w:p>
        </w:tc>
        <w:tc>
          <w:tcPr>
            <w:tcW w:w="4302" w:type="pct"/>
            <w:shd w:val="clear" w:color="000000" w:fill="auto"/>
            <w:vAlign w:val="center"/>
          </w:tcPr>
          <w:p w14:paraId="3E5D029B">
            <w:pPr>
              <w:rPr>
                <w:kern w:val="0"/>
                <w:sz w:val="20"/>
                <w:szCs w:val="16"/>
              </w:rPr>
            </w:pPr>
            <w:r>
              <w:rPr>
                <w:rFonts w:hint="eastAsia"/>
                <w:kern w:val="0"/>
                <w:sz w:val="20"/>
                <w:szCs w:val="16"/>
              </w:rPr>
              <w:t>管理员可查看所管理学生的行为数据统计结果。支持对</w:t>
            </w:r>
            <w:r>
              <w:rPr>
                <w:kern w:val="0"/>
                <w:sz w:val="20"/>
                <w:szCs w:val="16"/>
              </w:rPr>
              <w:t>学生数据的</w:t>
            </w:r>
            <w:r>
              <w:rPr>
                <w:rFonts w:hint="eastAsia"/>
                <w:kern w:val="0"/>
                <w:sz w:val="20"/>
                <w:szCs w:val="16"/>
              </w:rPr>
              <w:t>基础信息分析、定位信息分析、学生视角业务分析、任务视角业务分析；</w:t>
            </w:r>
          </w:p>
          <w:p w14:paraId="40927CC8">
            <w:pPr>
              <w:rPr>
                <w:kern w:val="0"/>
                <w:sz w:val="20"/>
                <w:szCs w:val="16"/>
              </w:rPr>
            </w:pPr>
            <w:r>
              <w:rPr>
                <w:rFonts w:hint="eastAsia"/>
                <w:kern w:val="0"/>
                <w:sz w:val="20"/>
                <w:szCs w:val="16"/>
              </w:rPr>
              <w:t>- 基础信息分析，对所管理学生的各类属性信息进行分析。</w:t>
            </w:r>
          </w:p>
          <w:p w14:paraId="3F303704">
            <w:pPr>
              <w:rPr>
                <w:kern w:val="0"/>
                <w:sz w:val="20"/>
                <w:szCs w:val="16"/>
              </w:rPr>
            </w:pPr>
            <w:r>
              <w:rPr>
                <w:rFonts w:hint="eastAsia"/>
                <w:kern w:val="0"/>
                <w:sz w:val="20"/>
                <w:szCs w:val="16"/>
              </w:rPr>
              <w:t>- 定位信息分析：将系统内所有采集的关于学生的GPS数据（包括请假、签到、查寝、信息收集）进行集中统计分析，在地图上展现学生最新地理位置信息、最新的跨省、跨市学生定位轨迹数据，并根据院系、年级、专业、班级对学生定位采集率、定位变化情况、跨省/跨市位置变化情况进行人数统计，并可查看具体学生名单；对多次无定位数据人员、所在地市/省份多次变化、多次离开本地市/本省的学生名单进行直接展示。</w:t>
            </w:r>
          </w:p>
          <w:p w14:paraId="14CA5BAB">
            <w:pPr>
              <w:rPr>
                <w:kern w:val="0"/>
                <w:sz w:val="20"/>
                <w:szCs w:val="16"/>
              </w:rPr>
            </w:pPr>
            <w:r>
              <w:rPr>
                <w:rFonts w:hint="eastAsia"/>
                <w:kern w:val="0"/>
                <w:sz w:val="20"/>
                <w:szCs w:val="16"/>
              </w:rPr>
              <w:t>- 业务分析（含学生视角、任务视角），可对请假、签到、查寝、信息收集等业务产生的数据，从多重维度按整体、学院、专业、班级、年级拆分进行统计排名，并支持查看具体明细；可选择单个任务，或学生群体进行数据筛选并进行相应业务的专项分析。</w:t>
            </w:r>
          </w:p>
        </w:tc>
      </w:tr>
      <w:tr w14:paraId="5A9D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2D559695">
            <w:pPr>
              <w:rPr>
                <w:b/>
                <w:bCs/>
                <w:kern w:val="0"/>
                <w:sz w:val="20"/>
                <w:szCs w:val="16"/>
              </w:rPr>
            </w:pPr>
            <w:r>
              <w:rPr>
                <w:rFonts w:hint="eastAsia"/>
                <w:b/>
                <w:bCs/>
                <w:kern w:val="0"/>
                <w:sz w:val="20"/>
                <w:szCs w:val="16"/>
              </w:rPr>
              <w:t>统计看板</w:t>
            </w:r>
          </w:p>
        </w:tc>
        <w:tc>
          <w:tcPr>
            <w:tcW w:w="4302" w:type="pct"/>
            <w:shd w:val="clear" w:color="000000" w:fill="auto"/>
            <w:vAlign w:val="center"/>
          </w:tcPr>
          <w:p w14:paraId="3B4B388B">
            <w:pPr>
              <w:rPr>
                <w:kern w:val="0"/>
                <w:sz w:val="20"/>
                <w:szCs w:val="16"/>
              </w:rPr>
            </w:pPr>
            <w:r>
              <w:rPr>
                <w:rFonts w:hint="eastAsia"/>
                <w:kern w:val="0"/>
                <w:sz w:val="20"/>
                <w:szCs w:val="16"/>
              </w:rPr>
              <w:t>支持以管理员维度查看辅导猫上的汇总任务数据，如请假处理次数、活动发起次数与参与人数、通知次数与平均触达率等。</w:t>
            </w:r>
          </w:p>
        </w:tc>
      </w:tr>
      <w:tr w14:paraId="7FC4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593CD37C">
            <w:pPr>
              <w:rPr>
                <w:b/>
                <w:bCs/>
                <w:kern w:val="0"/>
                <w:sz w:val="20"/>
                <w:szCs w:val="16"/>
              </w:rPr>
            </w:pPr>
            <w:r>
              <w:rPr>
                <w:rFonts w:hint="eastAsia"/>
                <w:b/>
                <w:bCs/>
                <w:kern w:val="0"/>
                <w:sz w:val="20"/>
                <w:szCs w:val="16"/>
              </w:rPr>
              <w:t>防作弊模块</w:t>
            </w:r>
          </w:p>
        </w:tc>
        <w:tc>
          <w:tcPr>
            <w:tcW w:w="4302" w:type="pct"/>
            <w:shd w:val="clear" w:color="000000" w:fill="auto"/>
            <w:vAlign w:val="center"/>
          </w:tcPr>
          <w:p w14:paraId="44E17646">
            <w:pPr>
              <w:rPr>
                <w:kern w:val="0"/>
                <w:sz w:val="20"/>
                <w:szCs w:val="16"/>
              </w:rPr>
            </w:pPr>
            <w:r>
              <w:rPr>
                <w:rFonts w:hint="eastAsia"/>
                <w:kern w:val="0"/>
                <w:sz w:val="20"/>
                <w:szCs w:val="16"/>
              </w:rPr>
              <w:t>检测学生在移动端进行签到、请假、查清任务时是否使用虚拟定位、多开助手、PC模拟器等作弊手段修改定位信息，可进行检测以及拦截，提高数据可靠程度</w:t>
            </w:r>
          </w:p>
        </w:tc>
      </w:tr>
      <w:tr w14:paraId="6111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shd w:val="clear" w:color="000000" w:fill="auto"/>
            <w:vAlign w:val="center"/>
          </w:tcPr>
          <w:p w14:paraId="65387A12">
            <w:pPr>
              <w:rPr>
                <w:b/>
                <w:bCs/>
                <w:kern w:val="0"/>
                <w:sz w:val="20"/>
                <w:szCs w:val="16"/>
              </w:rPr>
            </w:pPr>
            <w:r>
              <w:rPr>
                <w:rFonts w:hint="eastAsia"/>
                <w:b/>
                <w:bCs/>
                <w:kern w:val="0"/>
                <w:sz w:val="20"/>
                <w:szCs w:val="16"/>
              </w:rPr>
              <w:t>全局任务控制功能</w:t>
            </w:r>
          </w:p>
        </w:tc>
        <w:tc>
          <w:tcPr>
            <w:tcW w:w="4302" w:type="pct"/>
            <w:shd w:val="clear" w:color="000000" w:fill="auto"/>
            <w:vAlign w:val="center"/>
          </w:tcPr>
          <w:p w14:paraId="3CCDB6D6">
            <w:pPr>
              <w:rPr>
                <w:kern w:val="0"/>
                <w:sz w:val="20"/>
                <w:szCs w:val="16"/>
              </w:rPr>
            </w:pPr>
            <w:r>
              <w:rPr>
                <w:rFonts w:hint="eastAsia"/>
                <w:kern w:val="0"/>
                <w:sz w:val="20"/>
                <w:szCs w:val="16"/>
              </w:rPr>
              <w:t>对平台上发布的各类任务，可进行预览正文、删除、重新开启、提前结束、撤回、延期、复制、编辑于暂停等相关灵活的操作。</w:t>
            </w:r>
          </w:p>
        </w:tc>
      </w:tr>
      <w:tr w14:paraId="4FEF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pct"/>
            <w:vAlign w:val="center"/>
          </w:tcPr>
          <w:p w14:paraId="2E343D42">
            <w:pPr>
              <w:rPr>
                <w:b/>
                <w:bCs/>
                <w:kern w:val="0"/>
                <w:sz w:val="20"/>
                <w:szCs w:val="16"/>
              </w:rPr>
            </w:pPr>
            <w:r>
              <w:rPr>
                <w:rFonts w:hint="eastAsia"/>
                <w:b/>
                <w:bCs/>
                <w:kern w:val="0"/>
                <w:sz w:val="20"/>
                <w:szCs w:val="16"/>
              </w:rPr>
              <w:t>成员管理</w:t>
            </w:r>
          </w:p>
        </w:tc>
        <w:tc>
          <w:tcPr>
            <w:tcW w:w="4302" w:type="pct"/>
            <w:vAlign w:val="center"/>
          </w:tcPr>
          <w:p w14:paraId="2E994812">
            <w:pPr>
              <w:rPr>
                <w:kern w:val="0"/>
                <w:sz w:val="20"/>
                <w:szCs w:val="16"/>
              </w:rPr>
            </w:pPr>
            <w:r>
              <w:rPr>
                <w:rFonts w:hint="eastAsia"/>
                <w:kern w:val="0"/>
                <w:sz w:val="20"/>
                <w:szCs w:val="16"/>
              </w:rPr>
              <w:t>自行导入产品用户信息，维护字段信息，分配用户的角色与权限。</w:t>
            </w:r>
          </w:p>
          <w:p w14:paraId="241F4950">
            <w:pPr>
              <w:rPr>
                <w:kern w:val="0"/>
                <w:sz w:val="20"/>
                <w:szCs w:val="16"/>
              </w:rPr>
            </w:pPr>
            <w:r>
              <w:rPr>
                <w:rFonts w:hint="eastAsia"/>
                <w:kern w:val="0"/>
                <w:sz w:val="20"/>
                <w:szCs w:val="16"/>
              </w:rPr>
              <w:t>- 支持多任职（多角色）管理，单个管理用户可分配多个任职类别（角色），并匹配不同的带班数据；</w:t>
            </w:r>
          </w:p>
          <w:p w14:paraId="1FFD9A57">
            <w:pPr>
              <w:rPr>
                <w:kern w:val="0"/>
                <w:sz w:val="20"/>
                <w:szCs w:val="16"/>
              </w:rPr>
            </w:pPr>
            <w:r>
              <w:rPr>
                <w:rFonts w:hint="eastAsia"/>
                <w:kern w:val="0"/>
                <w:sz w:val="20"/>
                <w:szCs w:val="16"/>
              </w:rPr>
              <w:t>- 支持多个角色的特殊功能权限。</w:t>
            </w:r>
          </w:p>
        </w:tc>
      </w:tr>
    </w:tbl>
    <w:p w14:paraId="37F10905">
      <w:pPr>
        <w:spacing w:after="0" w:line="360" w:lineRule="auto"/>
        <w:ind w:left="2" w:firstLine="560" w:firstLineChars="200"/>
        <w:rPr>
          <w:rFonts w:hint="eastAsia" w:ascii="黑体" w:hAnsi="黑体" w:eastAsia="黑体" w:cs="黑体"/>
        </w:rPr>
      </w:pPr>
    </w:p>
    <w:p w14:paraId="19B97D74">
      <w:pPr>
        <w:spacing w:after="0" w:line="360" w:lineRule="auto"/>
        <w:ind w:left="2" w:firstLine="560" w:firstLineChars="200"/>
        <w:rPr>
          <w:rFonts w:hint="eastAsia" w:ascii="黑体" w:hAnsi="黑体" w:eastAsia="黑体" w:cs="黑体"/>
        </w:rPr>
      </w:pPr>
    </w:p>
    <w:p w14:paraId="04A95C5C">
      <w:pPr>
        <w:spacing w:after="0" w:line="360" w:lineRule="auto"/>
        <w:ind w:left="2" w:firstLine="560" w:firstLineChars="200"/>
        <w:rPr>
          <w:rFonts w:ascii="黑体" w:hAnsi="黑体" w:eastAsia="黑体" w:cs="黑体"/>
        </w:rPr>
      </w:pPr>
      <w:r>
        <w:rPr>
          <w:rFonts w:hint="eastAsia" w:ascii="黑体" w:hAnsi="黑体" w:eastAsia="黑体" w:cs="黑体"/>
        </w:rPr>
        <w:t>八</w:t>
      </w:r>
      <w:r>
        <w:rPr>
          <w:rFonts w:ascii="黑体" w:hAnsi="黑体" w:eastAsia="黑体" w:cs="黑体"/>
        </w:rPr>
        <w:t>、其他要求</w:t>
      </w:r>
    </w:p>
    <w:p w14:paraId="27EF8F3F">
      <w:pPr>
        <w:spacing w:after="0" w:line="360" w:lineRule="auto"/>
        <w:ind w:left="2" w:firstLine="560" w:firstLineChars="200"/>
      </w:pPr>
      <w:r>
        <w:rPr>
          <w:rFonts w:hint="eastAsia"/>
        </w:rPr>
        <w:t>（一）供货商</w:t>
      </w:r>
      <w:r>
        <w:t>需在</w:t>
      </w:r>
      <w:r>
        <w:rPr>
          <w:rFonts w:hint="eastAsia"/>
        </w:rPr>
        <w:t>202</w:t>
      </w:r>
      <w:r>
        <w:rPr>
          <w:rFonts w:hint="eastAsia"/>
          <w:lang w:val="en-US" w:eastAsia="zh-CN"/>
        </w:rPr>
        <w:t>5</w:t>
      </w:r>
      <w:r>
        <w:rPr>
          <w:rFonts w:hint="eastAsia"/>
        </w:rPr>
        <w:t>年1月1日前</w:t>
      </w:r>
      <w:r>
        <w:t>完成平台</w:t>
      </w:r>
      <w:r>
        <w:rPr>
          <w:rFonts w:hint="eastAsia"/>
        </w:rPr>
        <w:t>与</w:t>
      </w:r>
      <w:r>
        <w:t>学校自有系统的数据对接，并于</w:t>
      </w:r>
      <w:r>
        <w:rPr>
          <w:rFonts w:hint="eastAsia"/>
        </w:rPr>
        <w:t>202</w:t>
      </w:r>
      <w:r>
        <w:rPr>
          <w:rFonts w:hint="eastAsia"/>
          <w:lang w:val="en-US" w:eastAsia="zh-CN"/>
        </w:rPr>
        <w:t>5</w:t>
      </w:r>
      <w:r>
        <w:rPr>
          <w:rFonts w:hint="eastAsia"/>
        </w:rPr>
        <w:t>年1月1日按时</w:t>
      </w:r>
      <w:r>
        <w:t>提供符合</w:t>
      </w:r>
      <w:r>
        <w:rPr>
          <w:rFonts w:hint="eastAsia"/>
        </w:rPr>
        <w:t>采购需求</w:t>
      </w:r>
      <w:r>
        <w:t>的服务。</w:t>
      </w:r>
    </w:p>
    <w:p w14:paraId="2283A179">
      <w:pPr>
        <w:spacing w:after="0" w:line="360" w:lineRule="auto"/>
        <w:ind w:left="2" w:firstLine="560" w:firstLineChars="200"/>
      </w:pPr>
      <w:r>
        <w:rPr>
          <w:rFonts w:hint="eastAsia"/>
        </w:rPr>
        <w:t>（二）服务购买</w:t>
      </w:r>
      <w:r>
        <w:t>费用将于</w:t>
      </w:r>
      <w:r>
        <w:rPr>
          <w:rFonts w:hint="eastAsia"/>
        </w:rPr>
        <w:t>202</w:t>
      </w:r>
      <w:r>
        <w:rPr>
          <w:rFonts w:hint="eastAsia"/>
          <w:lang w:val="en-US" w:eastAsia="zh-CN"/>
        </w:rPr>
        <w:t>5</w:t>
      </w:r>
      <w:r>
        <w:rPr>
          <w:rFonts w:hint="eastAsia"/>
        </w:rPr>
        <w:t>年5月31日</w:t>
      </w:r>
      <w:r>
        <w:t>前支付。</w:t>
      </w:r>
    </w:p>
    <w:p w14:paraId="6832EAF0">
      <w:pPr>
        <w:spacing w:after="0" w:line="360" w:lineRule="auto"/>
        <w:ind w:left="2" w:firstLine="560" w:firstLineChars="200"/>
        <w:rPr>
          <w:rFonts w:hint="default" w:eastAsia="宋体"/>
          <w:lang w:val="en-US" w:eastAsia="zh-CN"/>
        </w:rPr>
      </w:pPr>
      <w:r>
        <w:rPr>
          <w:rFonts w:hint="eastAsia"/>
          <w:lang w:eastAsia="zh-CN"/>
        </w:rPr>
        <w:t>（三）服务期为</w:t>
      </w:r>
      <w:r>
        <w:rPr>
          <w:rFonts w:hint="eastAsia"/>
          <w:lang w:val="en-US" w:eastAsia="zh-CN"/>
        </w:rPr>
        <w:t>2025年1月1日至2025年3月31日。</w:t>
      </w:r>
      <w:bookmarkStart w:id="0" w:name="_GoBack"/>
      <w:bookmarkEnd w:id="0"/>
    </w:p>
    <w:p w14:paraId="19CA3AC9">
      <w:pPr>
        <w:spacing w:after="0" w:line="360" w:lineRule="auto"/>
        <w:ind w:left="561" w:firstLine="0"/>
        <w:jc w:val="center"/>
        <w:rPr>
          <w:rFonts w:ascii="黑体" w:hAnsi="黑体" w:eastAsia="黑体"/>
          <w:sz w:val="36"/>
          <w:szCs w:val="36"/>
        </w:rPr>
      </w:pPr>
    </w:p>
    <w:p w14:paraId="382495D6">
      <w:pPr>
        <w:spacing w:after="0" w:line="360" w:lineRule="auto"/>
        <w:ind w:left="561" w:firstLine="0"/>
        <w:jc w:val="center"/>
        <w:rPr>
          <w:rFonts w:ascii="黑体" w:hAnsi="黑体" w:eastAsia="黑体"/>
          <w:sz w:val="36"/>
          <w:szCs w:val="36"/>
        </w:rPr>
      </w:pPr>
    </w:p>
    <w:p w14:paraId="1C07CBE4">
      <w:pPr>
        <w:spacing w:after="0" w:line="360" w:lineRule="auto"/>
        <w:ind w:left="561" w:firstLine="0"/>
        <w:jc w:val="center"/>
        <w:rPr>
          <w:rFonts w:ascii="黑体" w:hAnsi="黑体" w:eastAsia="黑体"/>
          <w:sz w:val="36"/>
          <w:szCs w:val="36"/>
        </w:rPr>
      </w:pPr>
    </w:p>
    <w:p w14:paraId="5787CD6A">
      <w:pPr>
        <w:spacing w:after="0" w:line="360" w:lineRule="auto"/>
        <w:ind w:left="561" w:firstLine="0"/>
        <w:jc w:val="center"/>
        <w:rPr>
          <w:rFonts w:ascii="黑体" w:hAnsi="黑体" w:eastAsia="黑体"/>
          <w:sz w:val="36"/>
          <w:szCs w:val="36"/>
        </w:rPr>
      </w:pPr>
    </w:p>
    <w:p w14:paraId="464AA6D8">
      <w:pPr>
        <w:spacing w:after="0" w:line="360" w:lineRule="auto"/>
        <w:ind w:left="561" w:firstLine="0"/>
        <w:jc w:val="center"/>
        <w:rPr>
          <w:rFonts w:ascii="黑体" w:hAnsi="黑体" w:eastAsia="黑体"/>
          <w:sz w:val="36"/>
          <w:szCs w:val="36"/>
        </w:rPr>
      </w:pPr>
    </w:p>
    <w:p w14:paraId="12CF6C95">
      <w:pPr>
        <w:spacing w:after="0" w:line="360" w:lineRule="auto"/>
        <w:ind w:left="561" w:firstLine="0"/>
        <w:jc w:val="center"/>
        <w:rPr>
          <w:rFonts w:ascii="黑体" w:hAnsi="黑体" w:eastAsia="黑体"/>
          <w:sz w:val="36"/>
          <w:szCs w:val="36"/>
        </w:rPr>
      </w:pPr>
    </w:p>
    <w:p w14:paraId="057CB68B">
      <w:pPr>
        <w:spacing w:after="0" w:line="360" w:lineRule="auto"/>
        <w:ind w:left="561" w:firstLine="0"/>
        <w:jc w:val="center"/>
        <w:rPr>
          <w:rFonts w:ascii="黑体" w:hAnsi="黑体" w:eastAsia="黑体"/>
          <w:sz w:val="36"/>
          <w:szCs w:val="36"/>
        </w:rPr>
      </w:pPr>
    </w:p>
    <w:p w14:paraId="53E5340F">
      <w:pPr>
        <w:spacing w:after="0" w:line="360" w:lineRule="auto"/>
        <w:ind w:left="561" w:firstLine="0"/>
        <w:jc w:val="center"/>
        <w:rPr>
          <w:rFonts w:ascii="黑体" w:hAnsi="黑体" w:eastAsia="黑体"/>
          <w:sz w:val="36"/>
          <w:szCs w:val="36"/>
        </w:rPr>
      </w:pPr>
    </w:p>
    <w:p w14:paraId="5EE188E7">
      <w:pPr>
        <w:spacing w:after="0" w:line="360" w:lineRule="auto"/>
        <w:ind w:left="561" w:firstLine="0"/>
        <w:jc w:val="center"/>
        <w:rPr>
          <w:rFonts w:ascii="黑体" w:hAnsi="黑体" w:eastAsia="黑体"/>
          <w:sz w:val="36"/>
          <w:szCs w:val="36"/>
        </w:rPr>
      </w:pPr>
    </w:p>
    <w:p w14:paraId="6492E5A1">
      <w:pPr>
        <w:spacing w:after="0" w:line="360" w:lineRule="auto"/>
        <w:ind w:left="561" w:firstLine="0"/>
        <w:jc w:val="center"/>
        <w:rPr>
          <w:rFonts w:ascii="黑体" w:hAnsi="黑体" w:eastAsia="黑体"/>
          <w:sz w:val="36"/>
          <w:szCs w:val="36"/>
        </w:rPr>
      </w:pPr>
    </w:p>
    <w:p w14:paraId="4590B011">
      <w:pPr>
        <w:spacing w:after="0" w:line="360" w:lineRule="auto"/>
        <w:ind w:left="561" w:firstLine="0"/>
        <w:jc w:val="center"/>
        <w:rPr>
          <w:rFonts w:ascii="黑体" w:hAnsi="黑体" w:eastAsia="黑体"/>
          <w:sz w:val="36"/>
          <w:szCs w:val="36"/>
        </w:rPr>
      </w:pPr>
    </w:p>
    <w:p w14:paraId="4DCAD1BC">
      <w:pPr>
        <w:spacing w:after="0" w:line="360" w:lineRule="auto"/>
        <w:ind w:left="561" w:firstLine="0"/>
        <w:jc w:val="center"/>
        <w:rPr>
          <w:rFonts w:ascii="黑体" w:hAnsi="黑体" w:eastAsia="黑体"/>
          <w:sz w:val="36"/>
          <w:szCs w:val="36"/>
        </w:rPr>
      </w:pPr>
    </w:p>
    <w:p w14:paraId="1B7847ED">
      <w:pPr>
        <w:spacing w:after="0" w:line="360" w:lineRule="auto"/>
        <w:ind w:left="561" w:firstLine="0"/>
        <w:jc w:val="center"/>
        <w:rPr>
          <w:rFonts w:ascii="黑体" w:hAnsi="黑体" w:eastAsia="黑体"/>
          <w:sz w:val="36"/>
          <w:szCs w:val="36"/>
        </w:rPr>
      </w:pPr>
    </w:p>
    <w:p w14:paraId="589B2B57">
      <w:pPr>
        <w:spacing w:after="0" w:line="360" w:lineRule="auto"/>
        <w:ind w:left="561" w:firstLine="0"/>
        <w:jc w:val="center"/>
        <w:rPr>
          <w:rFonts w:ascii="黑体" w:hAnsi="黑体" w:eastAsia="黑体"/>
          <w:sz w:val="36"/>
          <w:szCs w:val="36"/>
        </w:rPr>
      </w:pPr>
    </w:p>
    <w:p w14:paraId="5F9C760F">
      <w:pPr>
        <w:spacing w:after="0" w:line="360" w:lineRule="auto"/>
        <w:ind w:left="561" w:firstLine="0"/>
        <w:jc w:val="center"/>
        <w:rPr>
          <w:rFonts w:ascii="黑体" w:hAnsi="黑体" w:eastAsia="黑体"/>
          <w:sz w:val="36"/>
          <w:szCs w:val="36"/>
        </w:rPr>
      </w:pPr>
    </w:p>
    <w:p w14:paraId="25B46604">
      <w:pPr>
        <w:spacing w:after="0" w:line="360" w:lineRule="auto"/>
        <w:ind w:left="561" w:firstLine="0"/>
        <w:jc w:val="center"/>
        <w:rPr>
          <w:rFonts w:ascii="黑体" w:hAnsi="黑体" w:eastAsia="黑体"/>
          <w:sz w:val="36"/>
          <w:szCs w:val="36"/>
        </w:rPr>
      </w:pPr>
    </w:p>
    <w:p w14:paraId="755AF26D">
      <w:pPr>
        <w:spacing w:after="0" w:line="360" w:lineRule="auto"/>
        <w:ind w:left="561" w:firstLine="0"/>
        <w:jc w:val="center"/>
        <w:rPr>
          <w:rFonts w:ascii="黑体" w:hAnsi="黑体" w:eastAsia="黑体"/>
          <w:sz w:val="36"/>
          <w:szCs w:val="36"/>
        </w:rPr>
      </w:pPr>
    </w:p>
    <w:p w14:paraId="119A3ABE">
      <w:pPr>
        <w:spacing w:after="0" w:line="360" w:lineRule="auto"/>
        <w:ind w:left="561" w:firstLine="0"/>
        <w:jc w:val="center"/>
        <w:rPr>
          <w:rFonts w:ascii="黑体" w:hAnsi="黑体" w:eastAsia="黑体"/>
          <w:sz w:val="36"/>
          <w:szCs w:val="36"/>
        </w:rPr>
      </w:pPr>
      <w:r>
        <w:rPr>
          <w:rFonts w:ascii="黑体" w:hAnsi="黑体" w:eastAsia="黑体"/>
          <w:sz w:val="36"/>
          <w:szCs w:val="36"/>
        </w:rPr>
        <w:t>第二部分 总则</w:t>
      </w:r>
    </w:p>
    <w:p w14:paraId="65E4BD22">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41AC869C">
      <w:pPr>
        <w:spacing w:after="0" w:line="360" w:lineRule="auto"/>
        <w:ind w:left="561" w:firstLine="0"/>
      </w:pPr>
      <w:r>
        <w:rPr>
          <w:rFonts w:hint="eastAsia"/>
        </w:rPr>
        <w:t>1</w:t>
      </w:r>
      <w:r>
        <w:t>.本文件仅适用于本项目采购邀请中所叙述的询价采购项目。</w:t>
      </w:r>
    </w:p>
    <w:p w14:paraId="34D32A42">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06009253">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3D1B0077">
      <w:pPr>
        <w:spacing w:after="0" w:line="360" w:lineRule="auto"/>
        <w:ind w:left="0" w:firstLine="560" w:firstLineChars="200"/>
      </w:pPr>
      <w:r>
        <w:rPr>
          <w:rFonts w:ascii="Times New Roman" w:hAnsi="Times New Roman" w:eastAsia="Times New Roman" w:cs="Times New Roman"/>
        </w:rPr>
        <w:t xml:space="preserve">2.1  </w:t>
      </w:r>
      <w:r>
        <w:t>询价文件说明</w:t>
      </w:r>
    </w:p>
    <w:p w14:paraId="45917AAE">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1148E6F7">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79E632E7">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5071BC11">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 xml:space="preserve">3 </w:t>
      </w:r>
      <w:r>
        <w:t>个工作日前，以书面形式通知所有获取询价文件的供应商，不足</w:t>
      </w:r>
      <w:r>
        <w:rPr>
          <w:rFonts w:ascii="Times New Roman" w:hAnsi="Times New Roman" w:eastAsia="Times New Roman" w:cs="Times New Roman"/>
        </w:rPr>
        <w:t xml:space="preserve">3 </w:t>
      </w:r>
      <w:r>
        <w:t>个工作日的，顺延提交资格申请文件和询价响应文件文件截止之日。</w:t>
      </w:r>
    </w:p>
    <w:p w14:paraId="29E35159">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33BFB05F">
      <w:pPr>
        <w:numPr>
          <w:ilvl w:val="2"/>
          <w:numId w:val="1"/>
        </w:numPr>
        <w:spacing w:after="0" w:line="360" w:lineRule="auto"/>
        <w:ind w:left="0" w:firstLine="559"/>
      </w:pPr>
      <w:r>
        <w:t>询价文件的最终解释权归采购人。</w:t>
      </w:r>
    </w:p>
    <w:p w14:paraId="4A7D4590">
      <w:pPr>
        <w:spacing w:after="0" w:line="360" w:lineRule="auto"/>
        <w:ind w:left="0" w:firstLine="560" w:firstLineChars="200"/>
      </w:pPr>
      <w:r>
        <w:rPr>
          <w:rFonts w:ascii="Times New Roman" w:hAnsi="Times New Roman" w:eastAsia="Times New Roman" w:cs="Times New Roman"/>
        </w:rPr>
        <w:t xml:space="preserve">2.2  </w:t>
      </w:r>
      <w:r>
        <w:t>资格申请文件和询价响应文件的说明</w:t>
      </w:r>
    </w:p>
    <w:p w14:paraId="1537AFE9">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14:paraId="071F830F">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73F0FD4A">
      <w:pPr>
        <w:numPr>
          <w:ilvl w:val="2"/>
          <w:numId w:val="2"/>
        </w:numPr>
        <w:spacing w:after="0" w:line="360" w:lineRule="auto"/>
        <w:ind w:left="0" w:firstLine="559"/>
      </w:pPr>
      <w:r>
        <w:t>资格申请文件和询价响应文件应在要求的截止时间前送达采购人，任何迟于这个时间的文件将被拒绝。</w:t>
      </w:r>
    </w:p>
    <w:p w14:paraId="08E49A5A">
      <w:pPr>
        <w:numPr>
          <w:ilvl w:val="2"/>
          <w:numId w:val="2"/>
        </w:numPr>
        <w:spacing w:after="0" w:line="360" w:lineRule="auto"/>
        <w:ind w:left="0" w:firstLine="559"/>
      </w:pPr>
      <w:r>
        <w:t>所有不完整的资格申请文件和询价响应文件将被视为无效。</w:t>
      </w:r>
    </w:p>
    <w:p w14:paraId="77FD0C54">
      <w:pPr>
        <w:numPr>
          <w:ilvl w:val="2"/>
          <w:numId w:val="2"/>
        </w:numPr>
        <w:spacing w:after="0" w:line="360" w:lineRule="auto"/>
        <w:ind w:left="0" w:firstLine="559"/>
        <w:jc w:val="both"/>
      </w:pPr>
      <w:r>
        <w:t>采购人不接受电报、电话、传真等方式交付资格申请文件和询</w:t>
      </w:r>
    </w:p>
    <w:p w14:paraId="4BE11AE7">
      <w:pPr>
        <w:spacing w:after="0" w:line="360" w:lineRule="auto"/>
        <w:ind w:left="0"/>
      </w:pPr>
      <w:r>
        <w:t>价响应文件。</w:t>
      </w:r>
    </w:p>
    <w:p w14:paraId="5B7118A9">
      <w:pPr>
        <w:numPr>
          <w:ilvl w:val="2"/>
          <w:numId w:val="2"/>
        </w:numPr>
        <w:spacing w:after="0" w:line="360" w:lineRule="auto"/>
        <w:ind w:left="0" w:firstLine="559"/>
        <w:jc w:val="both"/>
      </w:pPr>
      <w:r>
        <w:t>资格申请文件和询价响应文件一经被接受，不论是否成交，恕不退还。</w:t>
      </w:r>
    </w:p>
    <w:p w14:paraId="734BE1A9">
      <w:pPr>
        <w:numPr>
          <w:ilvl w:val="2"/>
          <w:numId w:val="2"/>
        </w:numPr>
        <w:spacing w:after="0" w:line="360" w:lineRule="auto"/>
        <w:ind w:left="0" w:firstLine="559"/>
        <w:jc w:val="both"/>
      </w:pPr>
      <w:r>
        <w:t>采购人对因不可抗力事件造成的资格申请文件和询价响应文件的损坏、丢失不承担任何责任。</w:t>
      </w:r>
    </w:p>
    <w:p w14:paraId="64DBCA75">
      <w:pPr>
        <w:numPr>
          <w:ilvl w:val="2"/>
          <w:numId w:val="2"/>
        </w:numPr>
        <w:spacing w:after="0" w:line="360" w:lineRule="auto"/>
        <w:ind w:left="0" w:firstLine="559"/>
        <w:jc w:val="both"/>
      </w:pPr>
      <w:r>
        <w:t>资格申请文件和询价响应文件文件正本须打印或以不褪色墨水书写，不作任何更改，并由供应商盖章确认。</w:t>
      </w:r>
    </w:p>
    <w:p w14:paraId="187B64A7">
      <w:pPr>
        <w:numPr>
          <w:ilvl w:val="2"/>
          <w:numId w:val="2"/>
        </w:numPr>
        <w:spacing w:after="0" w:line="360" w:lineRule="auto"/>
        <w:ind w:left="0" w:firstLine="559"/>
      </w:pPr>
      <w:r>
        <w:t>本项目不收取保证金。</w:t>
      </w:r>
    </w:p>
    <w:p w14:paraId="7024F760">
      <w:pPr>
        <w:spacing w:after="0" w:line="360" w:lineRule="auto"/>
        <w:ind w:firstLine="700" w:firstLineChars="250"/>
        <w:rPr>
          <w:rFonts w:ascii="黑体" w:hAnsi="黑体" w:eastAsia="黑体" w:cs="黑体"/>
        </w:rPr>
      </w:pPr>
      <w:r>
        <w:rPr>
          <w:rFonts w:hint="eastAsia" w:ascii="黑体" w:hAnsi="黑体" w:eastAsia="黑体" w:cs="黑体"/>
        </w:rPr>
        <w:t>三、</w:t>
      </w:r>
      <w:r>
        <w:rPr>
          <w:rFonts w:ascii="黑体" w:hAnsi="黑体" w:eastAsia="黑体" w:cs="黑体"/>
        </w:rPr>
        <w:t>资格申请文件和询价响应文件的编写、装订、密封、标记、提交等要求</w:t>
      </w:r>
    </w:p>
    <w:p w14:paraId="191EEC99">
      <w:pPr>
        <w:spacing w:after="0" w:line="360" w:lineRule="auto"/>
        <w:ind w:left="0" w:firstLine="560" w:firstLineChars="200"/>
        <w:jc w:val="both"/>
        <w:rPr>
          <w:rFonts w:ascii="Times New Roman" w:hAnsi="Times New Roman" w:eastAsia="Times New Roman" w:cs="Times New Roman"/>
        </w:rPr>
      </w:pPr>
      <w:r>
        <w:rPr>
          <w:rFonts w:ascii="Times New Roman" w:hAnsi="Times New Roman" w:eastAsia="Times New Roman" w:cs="Times New Roman"/>
        </w:rPr>
        <w:t xml:space="preserve">3.1 </w:t>
      </w:r>
      <w:r>
        <w:rPr>
          <w:rFonts w:hint="eastAsia"/>
        </w:rPr>
        <w:t>资格申请文件包括的内容为第三部分资格申请文件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w:t>
      </w:r>
      <w:r>
        <w:rPr>
          <w:rFonts w:ascii="Times New Roman" w:hAnsi="Times New Roman" w:eastAsia="Times New Roman" w:cs="Times New Roman"/>
        </w:rPr>
        <w:t xml:space="preserve"> </w:t>
      </w:r>
      <w:r>
        <w:rPr>
          <w:rFonts w:hint="eastAsia"/>
        </w:rPr>
        <w:t>询价响应文件包括的内容为第四部分询价响应文件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。文件应装订成册（可双面打印），一式</w:t>
      </w:r>
      <w:r>
        <w:rPr>
          <w:rFonts w:ascii="Times New Roman" w:hAnsi="Times New Roman" w:eastAsia="Times New Roman" w:cs="Times New Roman"/>
        </w:rPr>
        <w:t xml:space="preserve"> 2 </w:t>
      </w:r>
      <w:r>
        <w:rPr>
          <w:rFonts w:hint="eastAsia"/>
        </w:rPr>
        <w:t>份，用</w:t>
      </w:r>
      <w:r>
        <w:rPr>
          <w:rFonts w:ascii="Times New Roman" w:hAnsi="Times New Roman" w:eastAsia="Times New Roman" w:cs="Times New Roman"/>
        </w:rPr>
        <w:t xml:space="preserve">1 </w:t>
      </w:r>
      <w:r>
        <w:rPr>
          <w:rFonts w:hint="eastAsia"/>
        </w:rPr>
        <w:t>个密封袋装订。</w:t>
      </w:r>
    </w:p>
    <w:p w14:paraId="2EA650A9">
      <w:pPr>
        <w:spacing w:after="0" w:line="360" w:lineRule="auto"/>
        <w:ind w:left="0" w:firstLine="560" w:firstLineChars="200"/>
      </w:pPr>
      <w:r>
        <w:rPr>
          <w:rFonts w:ascii="黑体" w:hAnsi="黑体" w:eastAsia="黑体" w:cs="黑体"/>
        </w:rPr>
        <w:t>注意：</w:t>
      </w:r>
    </w:p>
    <w:p w14:paraId="48CED5E5">
      <w:pPr>
        <w:spacing w:after="0" w:line="360" w:lineRule="auto"/>
        <w:ind w:left="0" w:firstLine="560" w:firstLineChars="200"/>
      </w:pPr>
      <w:r>
        <w:rPr>
          <w:rFonts w:ascii="Times New Roman" w:hAnsi="Times New Roman" w:eastAsia="Times New Roman" w:cs="Times New Roman"/>
        </w:rPr>
        <w:t>1.</w:t>
      </w:r>
      <w:r>
        <w:t>资格申请文件和询价响应文件份首页均应注明供应商名称，并加盖公章。</w:t>
      </w:r>
    </w:p>
    <w:p w14:paraId="3F8C5C12">
      <w:pPr>
        <w:spacing w:after="0" w:line="360" w:lineRule="auto"/>
        <w:ind w:left="0" w:firstLine="560" w:firstLineChars="200"/>
        <w:jc w:val="both"/>
      </w:pPr>
      <w:r>
        <w:rPr>
          <w:rFonts w:ascii="Times New Roman" w:hAnsi="Times New Roman" w:eastAsia="Times New Roman" w:cs="Times New Roman"/>
        </w:rPr>
        <w:t>2.</w:t>
      </w:r>
      <w:r>
        <w:t>询价供应商应以人民币填报报价，合同履行时采购人以人民币支付。</w:t>
      </w:r>
    </w:p>
    <w:p w14:paraId="71BB7F0A">
      <w:pPr>
        <w:spacing w:after="0" w:line="360" w:lineRule="auto"/>
        <w:ind w:left="0" w:firstLine="560" w:firstLineChars="200"/>
      </w:pPr>
      <w:r>
        <w:rPr>
          <w:rFonts w:ascii="Times New Roman" w:hAnsi="Times New Roman" w:eastAsia="Times New Roman" w:cs="Times New Roman"/>
        </w:rPr>
        <w:t>3.</w:t>
      </w:r>
      <w:r>
        <w:t>密封袋封口处均需加盖公章，密封袋封面应清楚标明：</w:t>
      </w:r>
    </w:p>
    <w:p w14:paraId="5AC3D5B6">
      <w:pPr>
        <w:numPr>
          <w:ilvl w:val="2"/>
          <w:numId w:val="3"/>
        </w:numPr>
        <w:spacing w:after="0" w:line="360" w:lineRule="auto"/>
        <w:ind w:left="0" w:firstLine="559"/>
      </w:pPr>
      <w:r>
        <w:t>递交至采购人规定的地址</w:t>
      </w:r>
      <w:r>
        <w:rPr>
          <w:rFonts w:hint="eastAsia"/>
        </w:rPr>
        <w:t>。</w:t>
      </w:r>
    </w:p>
    <w:p w14:paraId="37714217">
      <w:pPr>
        <w:numPr>
          <w:ilvl w:val="2"/>
          <w:numId w:val="3"/>
        </w:numPr>
        <w:spacing w:after="0" w:line="360" w:lineRule="auto"/>
        <w:ind w:left="0" w:firstLine="559"/>
      </w:pPr>
      <w:r>
        <w:t>项目名称</w:t>
      </w:r>
      <w:r>
        <w:rPr>
          <w:rFonts w:hint="eastAsia"/>
        </w:rPr>
        <w:t>。</w:t>
      </w:r>
    </w:p>
    <w:p w14:paraId="4D1BA2D0">
      <w:pPr>
        <w:numPr>
          <w:ilvl w:val="2"/>
          <w:numId w:val="3"/>
        </w:numPr>
        <w:spacing w:after="0" w:line="360" w:lineRule="auto"/>
        <w:ind w:left="0" w:firstLine="559"/>
      </w:pPr>
      <w:r>
        <w:t>在年月日（即文件递交截止时间）之前不得启封</w:t>
      </w:r>
      <w:r>
        <w:rPr>
          <w:rFonts w:hint="eastAsia"/>
        </w:rPr>
        <w:t>。</w:t>
      </w:r>
    </w:p>
    <w:p w14:paraId="7D7DE133">
      <w:pPr>
        <w:numPr>
          <w:ilvl w:val="2"/>
          <w:numId w:val="3"/>
        </w:numPr>
        <w:spacing w:after="0" w:line="360" w:lineRule="auto"/>
        <w:ind w:left="0" w:firstLine="559"/>
      </w:pPr>
      <w:r>
        <w:t>供应商名称、地址、电话并加盖公章</w:t>
      </w:r>
      <w:r>
        <w:rPr>
          <w:rFonts w:hint="eastAsia"/>
        </w:rPr>
        <w:t>。</w:t>
      </w:r>
    </w:p>
    <w:p w14:paraId="447FF52B">
      <w:pPr>
        <w:bidi w:val="0"/>
      </w:pPr>
    </w:p>
    <w:p w14:paraId="2A3BDB12">
      <w:pPr>
        <w:bidi w:val="0"/>
      </w:pPr>
    </w:p>
    <w:p w14:paraId="72E387CD">
      <w:pPr>
        <w:bidi w:val="0"/>
      </w:pPr>
    </w:p>
    <w:p w14:paraId="69525142">
      <w:pPr>
        <w:bidi w:val="0"/>
      </w:pPr>
    </w:p>
    <w:p w14:paraId="333FC6DA">
      <w:pPr>
        <w:bidi w:val="0"/>
      </w:pPr>
    </w:p>
    <w:p w14:paraId="3B9A9A93">
      <w:pPr>
        <w:bidi w:val="0"/>
      </w:pPr>
    </w:p>
    <w:p w14:paraId="06949A7F">
      <w:pPr>
        <w:bidi w:val="0"/>
      </w:pPr>
    </w:p>
    <w:p w14:paraId="1F2FA1F3">
      <w:pPr>
        <w:bidi w:val="0"/>
      </w:pPr>
    </w:p>
    <w:p w14:paraId="47BEAFE3">
      <w:pPr>
        <w:bidi w:val="0"/>
      </w:pPr>
    </w:p>
    <w:p w14:paraId="29B0E3B2">
      <w:pPr>
        <w:bidi w:val="0"/>
      </w:pPr>
    </w:p>
    <w:p w14:paraId="7B24FC29">
      <w:pPr>
        <w:pStyle w:val="2"/>
        <w:spacing w:after="0" w:line="360" w:lineRule="auto"/>
        <w:ind w:left="0" w:right="0"/>
      </w:pPr>
    </w:p>
    <w:p w14:paraId="5E93A703"/>
    <w:p w14:paraId="3278B881"/>
    <w:p w14:paraId="1F0F3A5C">
      <w:pPr>
        <w:pStyle w:val="2"/>
        <w:spacing w:after="0" w:line="360" w:lineRule="auto"/>
        <w:ind w:left="0" w:right="0"/>
      </w:pPr>
      <w:r>
        <w:t>第三部分 资格申请文件</w:t>
      </w:r>
    </w:p>
    <w:p w14:paraId="48558765">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14:paraId="2E8894EB">
      <w:pPr>
        <w:spacing w:after="0" w:line="360" w:lineRule="auto"/>
        <w:ind w:left="0" w:firstLine="420" w:firstLineChars="150"/>
      </w:pPr>
      <w:r>
        <w:rPr>
          <w:rFonts w:ascii="黑体" w:hAnsi="黑体" w:eastAsia="黑体" w:cs="黑体"/>
        </w:rPr>
        <w:t>（以下材料每页均须加盖公章，按顺序装订）</w:t>
      </w:r>
      <w:r>
        <w:t>。</w:t>
      </w:r>
    </w:p>
    <w:p w14:paraId="1543D316">
      <w:pPr>
        <w:numPr>
          <w:ilvl w:val="1"/>
          <w:numId w:val="4"/>
        </w:numPr>
        <w:spacing w:after="0" w:line="360" w:lineRule="auto"/>
        <w:ind w:left="0" w:firstLine="571"/>
      </w:pPr>
      <w:r>
        <w:t>营业执照复印件</w:t>
      </w:r>
    </w:p>
    <w:p w14:paraId="76B4704E">
      <w:pPr>
        <w:numPr>
          <w:ilvl w:val="1"/>
          <w:numId w:val="4"/>
        </w:numPr>
        <w:spacing w:after="0" w:line="360" w:lineRule="auto"/>
        <w:ind w:left="0" w:firstLine="571"/>
      </w:pPr>
      <w:r>
        <w:t>法定代表人身份证明书和法定代表人授权委托书（格式附后）</w:t>
      </w:r>
    </w:p>
    <w:p w14:paraId="602E15DB">
      <w:pPr>
        <w:numPr>
          <w:ilvl w:val="1"/>
          <w:numId w:val="4"/>
        </w:numPr>
        <w:spacing w:after="0" w:line="360" w:lineRule="auto"/>
        <w:ind w:left="0" w:firstLine="571"/>
      </w:pPr>
      <w:r>
        <w:rPr>
          <w:rFonts w:ascii="Times New Roman" w:hAnsi="Times New Roman" w:eastAsia="Times New Roman" w:cs="Times New Roman"/>
        </w:rPr>
        <w:t>2021</w:t>
      </w:r>
      <w:r>
        <w:t>年</w:t>
      </w:r>
      <w:r>
        <w:rPr>
          <w:rFonts w:ascii="Times New Roman" w:hAnsi="Times New Roman" w:eastAsia="Times New Roman" w:cs="Times New Roman"/>
        </w:rPr>
        <w:t xml:space="preserve">1 </w:t>
      </w:r>
      <w:r>
        <w:t>月</w:t>
      </w:r>
      <w:r>
        <w:rPr>
          <w:rFonts w:ascii="Times New Roman" w:hAnsi="Times New Roman" w:eastAsia="Times New Roman" w:cs="Times New Roman"/>
        </w:rPr>
        <w:t xml:space="preserve">1 </w:t>
      </w:r>
      <w:r>
        <w:t>日以来</w:t>
      </w:r>
      <w:r>
        <w:rPr>
          <w:rFonts w:hint="eastAsia"/>
        </w:rPr>
        <w:t>从事出售高校辅导员</w:t>
      </w:r>
      <w:r>
        <w:t>办公云平台服务的</w:t>
      </w:r>
      <w:r>
        <w:rPr>
          <w:rFonts w:hint="eastAsia"/>
        </w:rPr>
        <w:t>合同</w:t>
      </w:r>
    </w:p>
    <w:p w14:paraId="578ACC85">
      <w:pPr>
        <w:numPr>
          <w:ilvl w:val="1"/>
          <w:numId w:val="4"/>
        </w:numPr>
        <w:spacing w:after="0" w:line="360" w:lineRule="auto"/>
        <w:ind w:left="0" w:firstLine="571"/>
      </w:pPr>
      <w:r>
        <w:t xml:space="preserve">近 </w:t>
      </w:r>
      <w:r>
        <w:rPr>
          <w:rFonts w:ascii="Times New Roman" w:hAnsi="Times New Roman" w:eastAsia="Times New Roman" w:cs="Times New Roman"/>
        </w:rPr>
        <w:t xml:space="preserve">3 </w:t>
      </w:r>
      <w:r>
        <w:t>年内在经营活动中没有重大违法记录的书面声明（格式自定）</w:t>
      </w:r>
    </w:p>
    <w:p w14:paraId="108E0DD9">
      <w:pPr>
        <w:spacing w:after="0" w:line="360" w:lineRule="auto"/>
        <w:ind w:left="0" w:firstLine="560" w:firstLineChars="200"/>
      </w:pPr>
      <w:r>
        <w:rPr>
          <w:rFonts w:hint="eastAsia" w:ascii="黑体" w:hAnsi="黑体" w:eastAsia="黑体" w:cs="黑体"/>
        </w:rPr>
        <w:t>二、</w:t>
      </w:r>
      <w:r>
        <w:rPr>
          <w:rFonts w:ascii="黑体" w:hAnsi="黑体" w:eastAsia="黑体" w:cs="黑体"/>
        </w:rPr>
        <w:t>附部分资格申请文件的格式</w:t>
      </w:r>
    </w:p>
    <w:p w14:paraId="6D4C180C">
      <w:pPr>
        <w:numPr>
          <w:ilvl w:val="1"/>
          <w:numId w:val="5"/>
        </w:numPr>
        <w:spacing w:after="0" w:line="360" w:lineRule="auto"/>
        <w:ind w:left="0" w:firstLine="565" w:firstLineChars="202"/>
      </w:pPr>
      <w:r>
        <w:t>法定代表人身份证明书</w:t>
      </w:r>
    </w:p>
    <w:p w14:paraId="33A6BF24">
      <w:pPr>
        <w:spacing w:after="0" w:line="360" w:lineRule="auto"/>
        <w:jc w:val="center"/>
        <w:rPr>
          <w:rFonts w:ascii="黑体" w:hAnsi="黑体" w:eastAsia="黑体" w:cs="黑体"/>
        </w:rPr>
      </w:pPr>
      <w:r>
        <w:rPr>
          <w:rFonts w:ascii="黑体" w:hAnsi="黑体" w:eastAsia="黑体" w:cs="黑体"/>
        </w:rPr>
        <w:t>法定代表人身份证明书</w:t>
      </w:r>
    </w:p>
    <w:p w14:paraId="1A66BD0D">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14:paraId="6857D95E">
      <w:pPr>
        <w:spacing w:after="0" w:line="360" w:lineRule="auto"/>
      </w:pPr>
      <w:r>
        <w:t>地址：</w:t>
      </w:r>
    </w:p>
    <w:p w14:paraId="3CED5365">
      <w:pPr>
        <w:spacing w:after="0" w:line="360" w:lineRule="auto"/>
      </w:pPr>
      <w:r>
        <w:t>成立时间：</w:t>
      </w:r>
    </w:p>
    <w:p w14:paraId="746103DA">
      <w:pPr>
        <w:spacing w:after="0" w:line="360" w:lineRule="auto"/>
        <w:ind w:left="0"/>
      </w:pPr>
      <w:r>
        <w:t>姓名：</w:t>
      </w:r>
      <w:r>
        <w:rPr>
          <w:rFonts w:hint="eastAsia"/>
          <w:u w:val="single"/>
        </w:rPr>
        <w:t xml:space="preserve"> </w:t>
      </w:r>
      <w:r>
        <w:rPr>
          <w:u w:val="single"/>
        </w:rPr>
        <w:t xml:space="preserve">      </w:t>
      </w:r>
      <w:r>
        <w:rPr>
          <w:rFonts w:hint="eastAsia"/>
        </w:rPr>
        <w:t>，身份证号：</w:t>
      </w:r>
      <w:r>
        <w:rPr>
          <w:rFonts w:hint="eastAsia"/>
          <w:u w:val="single"/>
        </w:rPr>
        <w:t xml:space="preserve"> </w:t>
      </w:r>
      <w:r>
        <w:rPr>
          <w:u w:val="single"/>
        </w:rPr>
        <w:t xml:space="preserve">             </w:t>
      </w:r>
      <w:r>
        <w:rPr>
          <w:rFonts w:hint="eastAsia"/>
        </w:rPr>
        <w:t>，</w:t>
      </w:r>
      <w:r>
        <w:t>系我公司的法定代表人。</w:t>
      </w:r>
    </w:p>
    <w:p w14:paraId="038A7C7B">
      <w:pPr>
        <w:spacing w:after="0" w:line="360" w:lineRule="auto"/>
        <w:ind w:left="0"/>
      </w:pPr>
      <w:r>
        <w:t>特此证明。</w:t>
      </w:r>
    </w:p>
    <w:p w14:paraId="141A706F">
      <w:pPr>
        <w:tabs>
          <w:tab w:val="center" w:pos="1819"/>
          <w:tab w:val="center" w:pos="5600"/>
        </w:tabs>
        <w:spacing w:after="0" w:line="360" w:lineRule="auto"/>
        <w:ind w:left="0" w:firstLine="0"/>
      </w:pPr>
      <w:r>
        <w:rPr>
          <w:rFonts w:ascii="Calibri" w:hAnsi="Calibri" w:eastAsia="Calibri" w:cs="Calibri"/>
          <w:sz w:val="22"/>
        </w:rPr>
        <w:tab/>
      </w:r>
      <w:r>
        <w:rPr>
          <w:rFonts w:ascii="黑体" w:hAnsi="黑体" w:eastAsia="黑体" w:cs="黑体"/>
        </w:rPr>
        <w:t>单位名称（印章）：</w:t>
      </w:r>
      <w:r>
        <w:rPr>
          <w:rFonts w:ascii="黑体" w:hAnsi="黑体" w:eastAsia="黑体" w:cs="黑体"/>
        </w:rPr>
        <w:tab/>
      </w:r>
      <w:r>
        <w:rPr>
          <w:rFonts w:ascii="黑体" w:hAnsi="黑体" w:eastAsia="黑体" w:cs="黑体"/>
        </w:rPr>
        <w:t>法定代表人（签字）：</w:t>
      </w:r>
    </w:p>
    <w:p w14:paraId="622689B0">
      <w:pPr>
        <w:spacing w:after="0" w:line="360" w:lineRule="auto"/>
        <w:ind w:left="0" w:right="560"/>
        <w:jc w:val="center"/>
      </w:pPr>
      <w:r>
        <w:rPr>
          <w:rFonts w:hint="eastAsia"/>
        </w:rPr>
        <w:t xml:space="preserve"> </w:t>
      </w:r>
      <w:r>
        <w:t xml:space="preserve">                                           年 月 日</w:t>
      </w:r>
    </w:p>
    <w:p w14:paraId="73827E3C">
      <w:pPr>
        <w:spacing w:after="0" w:line="360" w:lineRule="auto"/>
        <w:ind w:left="0" w:firstLine="560" w:firstLineChars="200"/>
      </w:pPr>
      <w:r>
        <w:t>附：法定代表人身份证复印件</w:t>
      </w:r>
    </w:p>
    <w:p w14:paraId="402414D7">
      <w:pPr>
        <w:numPr>
          <w:ilvl w:val="1"/>
          <w:numId w:val="5"/>
        </w:numPr>
        <w:spacing w:after="0" w:line="360" w:lineRule="auto"/>
        <w:ind w:left="0" w:firstLine="567"/>
      </w:pPr>
      <w:r>
        <w:t>法定代表人授权委托书</w:t>
      </w:r>
    </w:p>
    <w:p w14:paraId="079DD342">
      <w:pPr>
        <w:pStyle w:val="3"/>
        <w:spacing w:after="0" w:line="360" w:lineRule="auto"/>
        <w:ind w:left="0"/>
      </w:pPr>
      <w:r>
        <w:t>法定代表人授权委托书</w:t>
      </w:r>
    </w:p>
    <w:p w14:paraId="72C32E75">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t>：</w:t>
      </w:r>
    </w:p>
    <w:p w14:paraId="58D01749">
      <w:pPr>
        <w:spacing w:after="0" w:line="360" w:lineRule="auto"/>
        <w:ind w:left="0" w:firstLine="561"/>
        <w:jc w:val="both"/>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t>现委托        参加贵单位组织的                     项目采购活动，全权代表我单位处理采购活动中的一切事宜。我单位对授权代表的代表行为及签署的所有文件承担法律责任。授权代表无转委托权，特此委托。</w:t>
      </w:r>
    </w:p>
    <w:p w14:paraId="6758DA23">
      <w:pPr>
        <w:spacing w:after="0" w:line="360" w:lineRule="auto"/>
        <w:ind w:left="0" w:firstLine="700" w:firstLineChars="250"/>
      </w:pPr>
      <w:r>
        <w:t>本授权有效期：</w:t>
      </w:r>
      <w:r>
        <w:tab/>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w:t>
      </w:r>
    </w:p>
    <w:p w14:paraId="2CC5ED57">
      <w:pPr>
        <w:spacing w:after="0" w:line="360" w:lineRule="auto"/>
        <w:ind w:left="8" w:firstLine="560" w:firstLineChars="200"/>
      </w:pPr>
      <w:r>
        <w:t>附：授权代表姓名：</w:t>
      </w:r>
      <w:r>
        <w:rPr>
          <w:u w:val="single"/>
        </w:rPr>
        <w:t xml:space="preserve">       </w:t>
      </w:r>
      <w:r>
        <w:t>性别：</w:t>
      </w:r>
      <w:r>
        <w:rPr>
          <w:u w:val="single"/>
        </w:rPr>
        <w:t xml:space="preserve">    </w:t>
      </w:r>
      <w:r>
        <w:t>年龄：</w:t>
      </w:r>
      <w:r>
        <w:rPr>
          <w:rFonts w:hint="eastAsia"/>
          <w:u w:val="single"/>
        </w:rPr>
        <w:t xml:space="preserve"> </w:t>
      </w:r>
      <w:r>
        <w:rPr>
          <w:u w:val="single"/>
        </w:rPr>
        <w:t xml:space="preserve">   </w:t>
      </w:r>
      <w:r>
        <w:rPr>
          <w:rFonts w:hint="eastAsia"/>
        </w:rPr>
        <w:t>。</w:t>
      </w:r>
    </w:p>
    <w:p w14:paraId="18A5EC10">
      <w:pPr>
        <w:spacing w:after="0" w:line="360" w:lineRule="auto"/>
        <w:ind w:left="0" w:firstLine="1120" w:firstLineChars="400"/>
      </w:pPr>
      <w:r>
        <w:t>职务：</w:t>
      </w:r>
      <w:r>
        <w:rPr>
          <w:u w:val="single"/>
        </w:rPr>
        <w:t xml:space="preserve">       </w:t>
      </w:r>
      <w:r>
        <w:t>身份证号码：</w:t>
      </w:r>
      <w:r>
        <w:rPr>
          <w:u w:val="single"/>
        </w:rPr>
        <w:t xml:space="preserve">                  </w:t>
      </w:r>
      <w:r>
        <w:rPr>
          <w:rFonts w:hint="eastAsia"/>
        </w:rPr>
        <w:t>。</w:t>
      </w:r>
    </w:p>
    <w:p w14:paraId="37E6D2E3">
      <w:pPr>
        <w:spacing w:after="0" w:line="360" w:lineRule="auto"/>
        <w:ind w:left="0" w:firstLine="1120" w:firstLineChars="400"/>
      </w:pPr>
      <w:r>
        <w:t>通讯地址：</w:t>
      </w:r>
      <w:r>
        <w:rPr>
          <w:rFonts w:hint="eastAsia"/>
          <w:u w:val="single"/>
        </w:rPr>
        <w:t xml:space="preserve"> </w:t>
      </w:r>
      <w:r>
        <w:rPr>
          <w:u w:val="single"/>
        </w:rPr>
        <w:t xml:space="preserve">                                </w:t>
      </w:r>
      <w:r>
        <w:rPr>
          <w:rFonts w:hint="eastAsia"/>
        </w:rPr>
        <w:t>。</w:t>
      </w:r>
    </w:p>
    <w:p w14:paraId="0CA09CA4">
      <w:pPr>
        <w:spacing w:after="0" w:line="360" w:lineRule="auto"/>
        <w:ind w:left="0" w:firstLine="1120" w:firstLineChars="400"/>
      </w:pPr>
      <w:r>
        <w:t>邮政编码：</w:t>
      </w:r>
      <w:r>
        <w:rPr>
          <w:rFonts w:hint="eastAsia"/>
          <w:u w:val="single"/>
        </w:rPr>
        <w:t xml:space="preserve"> </w:t>
      </w:r>
      <w:r>
        <w:rPr>
          <w:u w:val="single"/>
        </w:rPr>
        <w:t xml:space="preserve">               </w:t>
      </w:r>
      <w:r>
        <w:rPr>
          <w:rFonts w:hint="eastAsia"/>
        </w:rPr>
        <w:t>。</w:t>
      </w:r>
    </w:p>
    <w:p w14:paraId="0BA67ECC">
      <w:pPr>
        <w:spacing w:after="0" w:line="360" w:lineRule="auto"/>
        <w:ind w:left="0" w:firstLine="1120" w:firstLineChars="400"/>
      </w:pPr>
      <w:r>
        <w:t>电话：</w:t>
      </w:r>
      <w:r>
        <w:rPr>
          <w:rFonts w:hint="eastAsia"/>
          <w:u w:val="single"/>
        </w:rPr>
        <w:t xml:space="preserve"> </w:t>
      </w:r>
      <w:r>
        <w:rPr>
          <w:u w:val="single"/>
        </w:rPr>
        <w:t xml:space="preserve">               </w:t>
      </w:r>
      <w:r>
        <w:rPr>
          <w:rFonts w:hint="eastAsia"/>
        </w:rPr>
        <w:t>。</w:t>
      </w:r>
    </w:p>
    <w:p w14:paraId="74A7F6B7">
      <w:pPr>
        <w:spacing w:after="0" w:line="360" w:lineRule="auto"/>
        <w:ind w:left="0" w:firstLine="1120" w:firstLineChars="400"/>
      </w:pPr>
      <w:r>
        <w:t>电子邮箱：</w:t>
      </w:r>
      <w:r>
        <w:rPr>
          <w:rFonts w:hint="eastAsia"/>
          <w:u w:val="single"/>
        </w:rPr>
        <w:t xml:space="preserve"> </w:t>
      </w:r>
      <w:r>
        <w:rPr>
          <w:u w:val="single"/>
        </w:rPr>
        <w:t xml:space="preserve">               </w:t>
      </w:r>
      <w:r>
        <w:rPr>
          <w:rFonts w:hint="eastAsia"/>
        </w:rPr>
        <w:t>。</w:t>
      </w:r>
    </w:p>
    <w:tbl>
      <w:tblPr>
        <w:tblStyle w:val="12"/>
        <w:tblW w:w="7634" w:type="dxa"/>
        <w:tblInd w:w="1118" w:type="dxa"/>
        <w:tblLayout w:type="autofit"/>
        <w:tblCellMar>
          <w:top w:w="0" w:type="dxa"/>
          <w:left w:w="0" w:type="dxa"/>
          <w:bottom w:w="0" w:type="dxa"/>
          <w:right w:w="0" w:type="dxa"/>
        </w:tblCellMar>
      </w:tblPr>
      <w:tblGrid>
        <w:gridCol w:w="2662"/>
        <w:gridCol w:w="4972"/>
      </w:tblGrid>
      <w:tr w14:paraId="33D66880">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C5EB022">
            <w:pPr>
              <w:spacing w:after="0" w:line="360" w:lineRule="auto"/>
              <w:ind w:left="0" w:firstLine="0"/>
              <w:jc w:val="both"/>
            </w:pPr>
            <w:r>
              <w:rPr>
                <w:rFonts w:ascii="黑体" w:hAnsi="黑体" w:eastAsia="黑体" w:cs="黑体"/>
              </w:rPr>
              <w:t>单位名称（印章）：</w:t>
            </w:r>
          </w:p>
        </w:tc>
        <w:tc>
          <w:tcPr>
            <w:tcW w:w="4972" w:type="dxa"/>
            <w:tcBorders>
              <w:top w:val="nil"/>
              <w:left w:val="nil"/>
              <w:bottom w:val="nil"/>
              <w:right w:val="nil"/>
            </w:tcBorders>
            <w:vAlign w:val="bottom"/>
          </w:tcPr>
          <w:p w14:paraId="5DCE5607">
            <w:pPr>
              <w:spacing w:after="0" w:line="360" w:lineRule="auto"/>
              <w:ind w:left="0" w:firstLine="0"/>
              <w:jc w:val="center"/>
            </w:pPr>
            <w:r>
              <w:rPr>
                <w:rFonts w:ascii="黑体" w:hAnsi="黑体" w:eastAsia="黑体" w:cs="黑体"/>
              </w:rPr>
              <w:t>法定代表人（签字）：</w:t>
            </w:r>
          </w:p>
        </w:tc>
      </w:tr>
    </w:tbl>
    <w:p w14:paraId="4C8B46AB">
      <w:pPr>
        <w:spacing w:after="0" w:line="360" w:lineRule="auto"/>
        <w:ind w:left="0" w:firstLine="6020" w:firstLineChars="2150"/>
      </w:pPr>
      <w:r>
        <w:t>年 月 日</w:t>
      </w:r>
    </w:p>
    <w:p w14:paraId="27500FE8">
      <w:pPr>
        <w:spacing w:after="0" w:line="360" w:lineRule="auto"/>
        <w:ind w:firstLine="560" w:firstLineChars="200"/>
        <w:jc w:val="both"/>
      </w:pPr>
      <w:r>
        <w:t>附：授权代表身份证复印件</w:t>
      </w:r>
    </w:p>
    <w:p w14:paraId="4880B581">
      <w:pPr>
        <w:bidi w:val="0"/>
        <w:rPr>
          <w:rFonts w:hint="eastAsia"/>
        </w:rPr>
      </w:pPr>
    </w:p>
    <w:p w14:paraId="06732AA0">
      <w:pPr>
        <w:bidi w:val="0"/>
      </w:pPr>
    </w:p>
    <w:p w14:paraId="76F4685A">
      <w:pPr>
        <w:bidi w:val="0"/>
      </w:pPr>
    </w:p>
    <w:p w14:paraId="3078A2FD">
      <w:pPr>
        <w:bidi w:val="0"/>
      </w:pPr>
    </w:p>
    <w:p w14:paraId="087AA97C">
      <w:pPr>
        <w:bidi w:val="0"/>
      </w:pPr>
    </w:p>
    <w:p w14:paraId="0DCC91F3">
      <w:pPr>
        <w:bidi w:val="0"/>
      </w:pPr>
    </w:p>
    <w:p w14:paraId="6D43A76E">
      <w:pPr>
        <w:bidi w:val="0"/>
      </w:pPr>
    </w:p>
    <w:p w14:paraId="61FDEC11">
      <w:pPr>
        <w:bidi w:val="0"/>
      </w:pPr>
    </w:p>
    <w:p w14:paraId="2BD9C1BA">
      <w:pPr>
        <w:bidi w:val="0"/>
      </w:pPr>
    </w:p>
    <w:p w14:paraId="1399A02E">
      <w:pPr>
        <w:bidi w:val="0"/>
      </w:pPr>
    </w:p>
    <w:p w14:paraId="3CEB3232">
      <w:pPr>
        <w:bidi w:val="0"/>
      </w:pPr>
    </w:p>
    <w:p w14:paraId="34240D7D">
      <w:pPr>
        <w:bidi w:val="0"/>
      </w:pPr>
    </w:p>
    <w:p w14:paraId="573267DC">
      <w:pPr>
        <w:bidi w:val="0"/>
      </w:pPr>
    </w:p>
    <w:p w14:paraId="193BE485">
      <w:pPr>
        <w:bidi w:val="0"/>
      </w:pPr>
    </w:p>
    <w:p w14:paraId="4835E576">
      <w:pPr>
        <w:bidi w:val="0"/>
      </w:pPr>
    </w:p>
    <w:p w14:paraId="348C0F04">
      <w:pPr>
        <w:bidi w:val="0"/>
      </w:pPr>
    </w:p>
    <w:p w14:paraId="22D2F7E4">
      <w:pPr>
        <w:pStyle w:val="2"/>
        <w:spacing w:after="0" w:line="360" w:lineRule="auto"/>
        <w:ind w:left="0" w:right="0"/>
      </w:pPr>
      <w:r>
        <w:t>第四部分 询价响应文件</w:t>
      </w:r>
    </w:p>
    <w:p w14:paraId="0282CD72">
      <w:pPr>
        <w:spacing w:after="0" w:line="360" w:lineRule="auto"/>
        <w:ind w:left="0" w:firstLine="560" w:firstLineChars="200"/>
      </w:pPr>
      <w:r>
        <w:rPr>
          <w:rFonts w:hint="eastAsia" w:ascii="黑体" w:hAnsi="黑体" w:eastAsia="黑体" w:cs="黑体"/>
        </w:rPr>
        <w:t>一、</w:t>
      </w:r>
      <w:r>
        <w:rPr>
          <w:rFonts w:ascii="黑体" w:hAnsi="黑体" w:eastAsia="黑体" w:cs="黑体"/>
        </w:rPr>
        <w:t>询价响应文件</w:t>
      </w:r>
    </w:p>
    <w:p w14:paraId="1FDCF774">
      <w:pPr>
        <w:spacing w:after="0" w:line="360" w:lineRule="auto"/>
        <w:ind w:left="0" w:firstLine="420" w:firstLineChars="150"/>
      </w:pPr>
      <w:r>
        <w:rPr>
          <w:rFonts w:ascii="黑体" w:hAnsi="黑体" w:eastAsia="黑体" w:cs="黑体"/>
        </w:rPr>
        <w:t>（以下材料每页均须加盖公章，按顺序装订）</w:t>
      </w:r>
      <w:r>
        <w:t>。</w:t>
      </w:r>
    </w:p>
    <w:p w14:paraId="533A7D62">
      <w:pPr>
        <w:numPr>
          <w:ilvl w:val="1"/>
          <w:numId w:val="6"/>
        </w:numPr>
        <w:spacing w:after="0" w:line="360" w:lineRule="auto"/>
        <w:ind w:firstLine="561"/>
      </w:pPr>
      <w:r>
        <w:t>询价响应函。（格式附后）</w:t>
      </w:r>
    </w:p>
    <w:p w14:paraId="5B12043A">
      <w:pPr>
        <w:numPr>
          <w:ilvl w:val="1"/>
          <w:numId w:val="6"/>
        </w:numPr>
        <w:spacing w:after="0" w:line="360" w:lineRule="auto"/>
        <w:ind w:firstLine="561"/>
        <w:jc w:val="both"/>
      </w:pPr>
      <w:r>
        <w:t>与本次采购项目有关的情况说明，包括但不限于</w:t>
      </w:r>
      <w:r>
        <w:rPr>
          <w:rFonts w:hint="eastAsia"/>
        </w:rPr>
        <w:t>商品</w:t>
      </w:r>
      <w:r>
        <w:t>规格、执行技术标准、生产设备，以及其他需要进一步需要说明的内容，如公司优势、产品优势</w:t>
      </w:r>
      <w:r>
        <w:rPr>
          <w:rFonts w:hint="eastAsia"/>
        </w:rPr>
        <w:t>、认证证书</w:t>
      </w:r>
      <w:r>
        <w:t>等。（格式和内容自定）</w:t>
      </w:r>
    </w:p>
    <w:p w14:paraId="3147B9DC">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14:paraId="46128EE0">
      <w:pPr>
        <w:spacing w:after="0" w:line="360" w:lineRule="auto"/>
        <w:ind w:firstLine="420" w:firstLineChars="150"/>
      </w:pPr>
      <w:r>
        <w:rPr>
          <w:rFonts w:hint="eastAsia" w:ascii="黑体" w:hAnsi="黑体" w:eastAsia="黑体" w:cs="黑体"/>
        </w:rPr>
        <w:t>1.4</w:t>
      </w:r>
      <w:r>
        <w:rPr>
          <w:rFonts w:ascii="黑体" w:hAnsi="黑体" w:eastAsia="黑体" w:cs="黑体"/>
        </w:rPr>
        <w:t xml:space="preserve">   报价表（格式</w:t>
      </w:r>
      <w:r>
        <w:rPr>
          <w:rFonts w:hint="eastAsia" w:ascii="黑体" w:hAnsi="黑体" w:eastAsia="黑体" w:cs="黑体"/>
        </w:rPr>
        <w:t>自定</w:t>
      </w:r>
      <w:r>
        <w:rPr>
          <w:rFonts w:ascii="黑体" w:hAnsi="黑体" w:eastAsia="黑体" w:cs="黑体"/>
        </w:rPr>
        <w:t>）</w:t>
      </w:r>
    </w:p>
    <w:p w14:paraId="45325E16">
      <w:pPr>
        <w:spacing w:after="0" w:line="360" w:lineRule="auto"/>
        <w:ind w:left="0" w:firstLine="560" w:firstLineChars="200"/>
      </w:pPr>
      <w:r>
        <w:rPr>
          <w:rFonts w:hint="eastAsia" w:ascii="黑体" w:hAnsi="黑体" w:eastAsia="黑体" w:cs="黑体"/>
        </w:rPr>
        <w:t>二、</w:t>
      </w:r>
      <w:r>
        <w:rPr>
          <w:rFonts w:ascii="黑体" w:hAnsi="黑体" w:eastAsia="黑体" w:cs="黑体"/>
        </w:rPr>
        <w:t>附部分询价响应文件的格式</w:t>
      </w:r>
    </w:p>
    <w:p w14:paraId="6CCA9CA9">
      <w:pPr>
        <w:spacing w:after="0" w:line="360" w:lineRule="auto"/>
        <w:ind w:left="0" w:firstLine="560" w:firstLineChars="200"/>
      </w:pPr>
      <w:r>
        <w:rPr>
          <w:rFonts w:ascii="Times New Roman" w:hAnsi="Times New Roman" w:eastAsia="Times New Roman" w:cs="Times New Roman"/>
        </w:rPr>
        <w:t xml:space="preserve">2.1 </w:t>
      </w:r>
      <w:r>
        <w:t>询价响应函</w:t>
      </w:r>
    </w:p>
    <w:p w14:paraId="45043893">
      <w:pPr>
        <w:pStyle w:val="3"/>
        <w:spacing w:after="0" w:line="360" w:lineRule="auto"/>
        <w:ind w:left="0"/>
      </w:pPr>
      <w:r>
        <w:t>询价响应函</w:t>
      </w:r>
    </w:p>
    <w:p w14:paraId="67790864">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rPr>
          <w:rFonts w:ascii="黑体" w:hAnsi="黑体" w:eastAsia="黑体" w:cs="黑体"/>
        </w:rPr>
        <w:t>：</w:t>
      </w:r>
    </w:p>
    <w:p w14:paraId="2004B115">
      <w:pPr>
        <w:spacing w:after="0" w:line="360" w:lineRule="auto"/>
        <w:ind w:left="0" w:firstLine="583"/>
        <w:jc w:val="both"/>
      </w:pPr>
      <w:r>
        <w:t>根据你们</w:t>
      </w:r>
      <w:r>
        <w:tab/>
      </w:r>
      <w:r>
        <w:rPr>
          <w:rFonts w:ascii="Calibri" w:hAnsi="Calibri" w:eastAsia="Calibri" w:cs="Calibri"/>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rPr>
        <w:t>（项目</w:t>
      </w:r>
      <w:r>
        <w:t>名称</w:t>
      </w:r>
      <w:r>
        <w:rPr>
          <w:rFonts w:hint="eastAsia"/>
        </w:rPr>
        <w:t>）</w:t>
      </w:r>
      <w:r>
        <w:t>询价文件，经详细研究，我们决定参加项目采购活动，并提交询价响应文件。为此，我方郑重声明以下诸点，并负法律责任。</w:t>
      </w:r>
    </w:p>
    <w:p w14:paraId="536FF833">
      <w:pPr>
        <w:spacing w:after="0" w:line="360" w:lineRule="auto"/>
        <w:ind w:left="0" w:firstLine="560" w:firstLineChars="200"/>
      </w:pPr>
      <w:r>
        <w:rPr>
          <w:rFonts w:ascii="Times New Roman" w:hAnsi="Times New Roman" w:eastAsia="Times New Roman" w:cs="Times New Roman"/>
        </w:rPr>
        <w:t>1</w:t>
      </w:r>
      <w:r>
        <w:t>．愿意实质响应询价文件中的要求，提供</w:t>
      </w:r>
      <w:r>
        <w:rPr>
          <w:rFonts w:hint="eastAsia"/>
        </w:rPr>
        <w:t>租赁</w:t>
      </w:r>
      <w:r>
        <w:t>产品及服务；</w:t>
      </w:r>
    </w:p>
    <w:p w14:paraId="1A785CD9">
      <w:pPr>
        <w:spacing w:after="0" w:line="360" w:lineRule="auto"/>
        <w:ind w:left="0" w:firstLine="583"/>
      </w:pPr>
      <w:r>
        <w:rPr>
          <w:rFonts w:ascii="Times New Roman" w:hAnsi="Times New Roman" w:eastAsia="Times New Roman" w:cs="Times New Roman"/>
        </w:rPr>
        <w:t>2</w:t>
      </w:r>
      <w:r>
        <w:t>．我方完全按照询价文件的要求提交询价响应文件，并保证询价响应文件内容真实有效；</w:t>
      </w:r>
    </w:p>
    <w:p w14:paraId="2CC3D3B0">
      <w:pPr>
        <w:spacing w:after="0" w:line="360" w:lineRule="auto"/>
        <w:ind w:left="0" w:firstLine="559"/>
      </w:pPr>
      <w:r>
        <w:rPr>
          <w:rFonts w:ascii="Times New Roman" w:hAnsi="Times New Roman" w:eastAsia="Times New Roman" w:cs="Times New Roman"/>
        </w:rPr>
        <w:t>3</w:t>
      </w:r>
      <w:r>
        <w:t>．如果我们的询价响应文件被接受，我们将履行询价文件中规定的每一项要求，保质保量按时完成任务；</w:t>
      </w:r>
    </w:p>
    <w:p w14:paraId="5CB41231">
      <w:pPr>
        <w:spacing w:after="0" w:line="360" w:lineRule="auto"/>
        <w:ind w:left="0" w:firstLine="560" w:firstLineChars="200"/>
      </w:pPr>
      <w:r>
        <w:rPr>
          <w:rFonts w:ascii="Times New Roman" w:hAnsi="Times New Roman" w:eastAsia="Times New Roman" w:cs="Times New Roman"/>
        </w:rPr>
        <w:t>4</w:t>
      </w:r>
      <w:r>
        <w:t>．我们理解，你们有依法选择成交供应商的权力；</w:t>
      </w:r>
    </w:p>
    <w:p w14:paraId="0935DB15">
      <w:pPr>
        <w:spacing w:after="0" w:line="360" w:lineRule="auto"/>
        <w:ind w:left="0" w:firstLine="560" w:firstLineChars="200"/>
      </w:pPr>
      <w:r>
        <w:rPr>
          <w:rFonts w:ascii="Times New Roman" w:hAnsi="Times New Roman" w:eastAsia="Times New Roman" w:cs="Times New Roman"/>
        </w:rPr>
        <w:t>5</w:t>
      </w:r>
      <w:r>
        <w:t>．我方愿意按《中华人民共和国</w:t>
      </w:r>
      <w:r>
        <w:rPr>
          <w:rFonts w:hint="eastAsia"/>
        </w:rPr>
        <w:t>民法典</w:t>
      </w:r>
      <w:r>
        <w:t>》履行自己的责任；</w:t>
      </w:r>
    </w:p>
    <w:p w14:paraId="40D24A96">
      <w:pPr>
        <w:spacing w:after="0" w:line="360" w:lineRule="auto"/>
        <w:ind w:left="0" w:firstLine="561"/>
        <w:jc w:val="both"/>
      </w:pPr>
      <w:r>
        <w:rPr>
          <w:rFonts w:ascii="Times New Roman" w:hAnsi="Times New Roman" w:eastAsia="Times New Roman" w:cs="Times New Roman"/>
        </w:rPr>
        <w:t>6</w:t>
      </w:r>
      <w:r>
        <w:t>．我们同意遵守采购人的各项规定。</w:t>
      </w:r>
    </w:p>
    <w:p w14:paraId="64EFD823">
      <w:pPr>
        <w:spacing w:after="0" w:line="360" w:lineRule="auto"/>
        <w:ind w:left="0" w:firstLine="560" w:firstLineChars="200"/>
      </w:pPr>
      <w:r>
        <w:rPr>
          <w:rFonts w:ascii="Times New Roman" w:hAnsi="Times New Roman" w:eastAsia="Times New Roman" w:cs="Times New Roman"/>
        </w:rPr>
        <w:t>7</w:t>
      </w:r>
      <w:r>
        <w:t>．所有关于该项目的函电，请按下列地址联系：</w:t>
      </w:r>
    </w:p>
    <w:p w14:paraId="31F95A99">
      <w:pPr>
        <w:spacing w:after="0" w:line="360" w:lineRule="auto"/>
        <w:ind w:left="0" w:firstLine="1120" w:firstLineChars="400"/>
      </w:pPr>
      <w:r>
        <w:rPr>
          <w:rFonts w:ascii="黑体" w:hAnsi="黑体" w:eastAsia="黑体" w:cs="黑体"/>
        </w:rPr>
        <w:t>询价响应人全称</w:t>
      </w:r>
      <w:r>
        <w:t>（印章）：</w:t>
      </w:r>
    </w:p>
    <w:p w14:paraId="50641E28">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地</w:t>
      </w:r>
      <w:r>
        <w:tab/>
      </w:r>
      <w:r>
        <w:t>址：</w:t>
      </w:r>
      <w:r>
        <w:tab/>
      </w:r>
    </w:p>
    <w:p w14:paraId="2E9780DB">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开户银行：</w:t>
      </w:r>
      <w:r>
        <w:tab/>
      </w:r>
    </w:p>
    <w:p w14:paraId="5729A497">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帐</w:t>
      </w:r>
      <w:r>
        <w:tab/>
      </w:r>
      <w:r>
        <w:t>号：</w:t>
      </w:r>
      <w:r>
        <w:tab/>
      </w:r>
    </w:p>
    <w:p w14:paraId="28CBAEE3">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电</w:t>
      </w:r>
      <w:r>
        <w:tab/>
      </w:r>
      <w:r>
        <w:t>话：</w:t>
      </w:r>
      <w:r>
        <w:tab/>
      </w:r>
    </w:p>
    <w:p w14:paraId="7CE8BB92">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电子邮箱：</w:t>
      </w:r>
      <w:r>
        <w:tab/>
      </w:r>
    </w:p>
    <w:p w14:paraId="02BD4E9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传</w:t>
      </w:r>
      <w:r>
        <w:tab/>
      </w:r>
      <w:r>
        <w:t>真：</w:t>
      </w:r>
      <w:r>
        <w:tab/>
      </w:r>
    </w:p>
    <w:p w14:paraId="2101DC9E">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邮</w:t>
      </w:r>
      <w:r>
        <w:tab/>
      </w:r>
      <w:r>
        <w:t>编：</w:t>
      </w:r>
      <w:r>
        <w:tab/>
      </w:r>
    </w:p>
    <w:p w14:paraId="16D50A2D">
      <w:pPr>
        <w:tabs>
          <w:tab w:val="center" w:pos="1221"/>
          <w:tab w:val="center" w:pos="2201"/>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授权代表：</w:t>
      </w:r>
      <w:r>
        <w:tab/>
      </w:r>
    </w:p>
    <w:p w14:paraId="33DEF0BF">
      <w:pPr>
        <w:tabs>
          <w:tab w:val="left" w:pos="6960"/>
        </w:tabs>
        <w:spacing w:after="0" w:line="360" w:lineRule="auto"/>
        <w:ind w:left="8" w:firstLine="1120" w:firstLineChars="400"/>
      </w:pPr>
      <w:r>
        <w:t>联系电话：</w:t>
      </w:r>
      <w:r>
        <w:tab/>
      </w:r>
    </w:p>
    <w:p w14:paraId="33D4AE3E">
      <w:pPr>
        <w:spacing w:after="0" w:line="360" w:lineRule="auto"/>
        <w:ind w:left="0"/>
        <w:rPr>
          <w:rFonts w:ascii="Times New Roman" w:hAnsi="Times New Roman" w:cs="Times New Roman" w:eastAsiaTheme="minorEastAsia"/>
        </w:rPr>
      </w:pPr>
    </w:p>
    <w:p w14:paraId="1A777F54">
      <w:pPr>
        <w:spacing w:after="0" w:line="360" w:lineRule="auto"/>
        <w:ind w:left="0" w:firstLine="5320" w:firstLineChars="1900"/>
      </w:pPr>
      <w:r>
        <w:t>年</w:t>
      </w:r>
      <w:r>
        <w:tab/>
      </w:r>
      <w:r>
        <w:t xml:space="preserve">  月</w:t>
      </w:r>
      <w:r>
        <w:tab/>
      </w:r>
      <w: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767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A6C0">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791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2B7C3F93"/>
    <w:rsid w:val="37084805"/>
    <w:rsid w:val="39137979"/>
    <w:rsid w:val="3DFDBD07"/>
    <w:rsid w:val="45606E4C"/>
    <w:rsid w:val="458F4876"/>
    <w:rsid w:val="47C01D6C"/>
    <w:rsid w:val="4DD78C3C"/>
    <w:rsid w:val="56FED3E6"/>
    <w:rsid w:val="63BFF28E"/>
    <w:rsid w:val="6659187C"/>
    <w:rsid w:val="6896480E"/>
    <w:rsid w:val="6C6F6AB2"/>
    <w:rsid w:val="6CF53E0A"/>
    <w:rsid w:val="7BEFC326"/>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1"/>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0"/>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2 字符"/>
    <w:link w:val="3"/>
    <w:qFormat/>
    <w:uiPriority w:val="0"/>
    <w:rPr>
      <w:rFonts w:ascii="黑体" w:hAnsi="黑体" w:eastAsia="黑体" w:cs="黑体"/>
      <w:color w:val="000000"/>
      <w:sz w:val="28"/>
    </w:rPr>
  </w:style>
  <w:style w:type="character" w:customStyle="1" w:styleId="11">
    <w:name w:val="标题 1 字符"/>
    <w:link w:val="2"/>
    <w:qFormat/>
    <w:uiPriority w:val="0"/>
    <w:rPr>
      <w:rFonts w:ascii="黑体" w:hAnsi="黑体" w:eastAsia="黑体" w:cs="黑体"/>
      <w:color w:val="000000"/>
      <w:sz w:val="36"/>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标题 3 字符"/>
    <w:basedOn w:val="9"/>
    <w:link w:val="4"/>
    <w:qFormat/>
    <w:uiPriority w:val="9"/>
    <w:rPr>
      <w:rFonts w:ascii="宋体" w:hAnsi="宋体" w:eastAsia="宋体" w:cs="宋体"/>
      <w:b/>
      <w:bCs/>
      <w:color w:val="000000"/>
      <w:sz w:val="32"/>
      <w:szCs w:val="32"/>
    </w:rPr>
  </w:style>
  <w:style w:type="paragraph" w:styleId="14">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5">
    <w:name w:val="标题 字符"/>
    <w:basedOn w:val="9"/>
    <w:link w:val="7"/>
    <w:qFormat/>
    <w:uiPriority w:val="10"/>
    <w:rPr>
      <w:rFonts w:asciiTheme="majorHAnsi" w:hAnsiTheme="majorHAnsi" w:eastAsiaTheme="majorEastAsia" w:cstheme="majorBidi"/>
      <w:b/>
      <w:bCs/>
      <w:color w:val="000000"/>
      <w:sz w:val="32"/>
      <w:szCs w:val="32"/>
    </w:rPr>
  </w:style>
  <w:style w:type="paragraph" w:styleId="16">
    <w:name w:val="List Paragraph"/>
    <w:basedOn w:val="1"/>
    <w:qFormat/>
    <w:uiPriority w:val="34"/>
    <w:pPr>
      <w:ind w:firstLine="420" w:firstLineChars="200"/>
    </w:pPr>
  </w:style>
  <w:style w:type="character" w:customStyle="1" w:styleId="17">
    <w:name w:val="页眉 字符"/>
    <w:basedOn w:val="9"/>
    <w:link w:val="6"/>
    <w:qFormat/>
    <w:uiPriority w:val="99"/>
    <w:rPr>
      <w:rFonts w:ascii="宋体" w:hAnsi="宋体" w:eastAsia="宋体" w:cs="宋体"/>
      <w:color w:val="000000"/>
      <w:sz w:val="18"/>
      <w:szCs w:val="18"/>
    </w:rPr>
  </w:style>
  <w:style w:type="character" w:customStyle="1" w:styleId="18">
    <w:name w:val="批注框文本 字符"/>
    <w:basedOn w:val="9"/>
    <w:link w:val="5"/>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744</Words>
  <Characters>811</Characters>
  <Lines>41</Lines>
  <Paragraphs>11</Paragraphs>
  <TotalTime>163</TotalTime>
  <ScaleCrop>false</ScaleCrop>
  <LinksUpToDate>false</LinksUpToDate>
  <CharactersWithSpaces>827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2024-12-10T02:10:46Z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BDD9E6039E084C9D8F7032FBD58157DB_12</vt:lpwstr>
  </property>
</Properties>
</file>